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8D18FE">
      <w:pPr>
        <w:pStyle w:val="normal0"/>
        <w:spacing w:after="0" w:line="240" w:lineRule="auto"/>
        <w:jc w:val="center"/>
      </w:pPr>
      <w:r>
        <w:rPr>
          <w:noProof/>
        </w:rPr>
        <w:drawing>
          <wp:anchor distT="0" distB="0" distL="114300" distR="114300" simplePos="0" relativeHeight="251658240" behindDoc="0" locked="0" layoutInCell="0" allowOverlap="1">
            <wp:simplePos x="0" y="0"/>
            <wp:positionH relativeFrom="margin">
              <wp:posOffset>209218</wp:posOffset>
            </wp:positionH>
            <wp:positionV relativeFrom="paragraph">
              <wp:posOffset>-879</wp:posOffset>
            </wp:positionV>
            <wp:extent cx="5835839" cy="3630304"/>
            <wp:effectExtent l="0" t="0" r="0" b="0"/>
            <wp:wrapNone/>
            <wp:docPr id="2" name="image05.jpg" descr="http://www.luc.edu/media/lucedu/logo/internal/images/Primary_3color.jpg"/>
            <wp:cNvGraphicFramePr/>
            <a:graphic xmlns:a="http://schemas.openxmlformats.org/drawingml/2006/main">
              <a:graphicData uri="http://schemas.openxmlformats.org/drawingml/2006/picture">
                <pic:pic xmlns:pic="http://schemas.openxmlformats.org/drawingml/2006/picture">
                  <pic:nvPicPr>
                    <pic:cNvPr id="0" name="image05.jpg" descr="http://www.luc.edu/media/lucedu/logo/internal/images/Primary_3color.jpg"/>
                    <pic:cNvPicPr preferRelativeResize="0"/>
                  </pic:nvPicPr>
                  <pic:blipFill>
                    <a:blip r:embed="rId6" cstate="print"/>
                    <a:srcRect b="14191"/>
                    <a:stretch>
                      <a:fillRect/>
                    </a:stretch>
                  </pic:blipFill>
                  <pic:spPr>
                    <a:xfrm>
                      <a:off x="0" y="0"/>
                      <a:ext cx="5835839" cy="3630304"/>
                    </a:xfrm>
                    <a:prstGeom prst="rect">
                      <a:avLst/>
                    </a:prstGeom>
                    <a:ln/>
                  </pic:spPr>
                </pic:pic>
              </a:graphicData>
            </a:graphic>
          </wp:anchor>
        </w:drawing>
      </w: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8D18FE">
      <w:pPr>
        <w:pStyle w:val="normal0"/>
        <w:spacing w:after="0" w:line="240" w:lineRule="auto"/>
        <w:jc w:val="center"/>
      </w:pPr>
      <w:r>
        <w:rPr>
          <w:noProof/>
        </w:rPr>
        <w:drawing>
          <wp:anchor distT="0" distB="0" distL="114300" distR="114300" simplePos="0" relativeHeight="251659264" behindDoc="0" locked="0" layoutInCell="0" allowOverlap="1">
            <wp:simplePos x="0" y="0"/>
            <wp:positionH relativeFrom="margin">
              <wp:posOffset>107950</wp:posOffset>
            </wp:positionH>
            <wp:positionV relativeFrom="paragraph">
              <wp:posOffset>95250</wp:posOffset>
            </wp:positionV>
            <wp:extent cx="5936615" cy="688975"/>
            <wp:effectExtent l="0" t="0" r="0" b="0"/>
            <wp:wrapNone/>
            <wp:docPr id="4"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7" cstate="print"/>
                    <a:srcRect/>
                    <a:stretch>
                      <a:fillRect/>
                    </a:stretch>
                  </pic:blipFill>
                  <pic:spPr>
                    <a:xfrm>
                      <a:off x="0" y="0"/>
                      <a:ext cx="5936615" cy="688975"/>
                    </a:xfrm>
                    <a:prstGeom prst="rect">
                      <a:avLst/>
                    </a:prstGeom>
                    <a:ln/>
                  </pic:spPr>
                </pic:pic>
              </a:graphicData>
            </a:graphic>
          </wp:anchor>
        </w:drawing>
      </w:r>
      <w:r>
        <w:rPr>
          <w:noProof/>
        </w:rPr>
        <w:drawing>
          <wp:anchor distT="0" distB="0" distL="114300" distR="114300" simplePos="0" relativeHeight="251660288" behindDoc="0" locked="0" layoutInCell="0" allowOverlap="1">
            <wp:simplePos x="0" y="0"/>
            <wp:positionH relativeFrom="margin">
              <wp:posOffset>299085</wp:posOffset>
            </wp:positionH>
            <wp:positionV relativeFrom="paragraph">
              <wp:posOffset>825500</wp:posOffset>
            </wp:positionV>
            <wp:extent cx="5648325" cy="559435"/>
            <wp:effectExtent l="0" t="0" r="0" b="0"/>
            <wp:wrapNone/>
            <wp:docPr id="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cstate="print"/>
                    <a:srcRect/>
                    <a:stretch>
                      <a:fillRect/>
                    </a:stretch>
                  </pic:blipFill>
                  <pic:spPr>
                    <a:xfrm>
                      <a:off x="0" y="0"/>
                      <a:ext cx="5648325" cy="559435"/>
                    </a:xfrm>
                    <a:prstGeom prst="rect">
                      <a:avLst/>
                    </a:prstGeom>
                    <a:ln/>
                  </pic:spPr>
                </pic:pic>
              </a:graphicData>
            </a:graphic>
          </wp:anchor>
        </w:drawing>
      </w: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8D18FE">
      <w:pPr>
        <w:pStyle w:val="normal0"/>
        <w:spacing w:after="0" w:line="240" w:lineRule="auto"/>
        <w:jc w:val="center"/>
      </w:pPr>
      <w:r>
        <w:rPr>
          <w:rFonts w:ascii="Arial" w:eastAsia="Arial" w:hAnsi="Arial" w:cs="Arial"/>
          <w:b/>
          <w:sz w:val="56"/>
          <w:szCs w:val="56"/>
          <w:highlight w:val="white"/>
        </w:rPr>
        <w:t>IRAP 10/24/16</w:t>
      </w: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552495" w:rsidRDefault="00552495">
      <w:pPr>
        <w:pStyle w:val="normal0"/>
        <w:spacing w:after="0" w:line="240" w:lineRule="auto"/>
        <w:jc w:val="center"/>
      </w:pPr>
    </w:p>
    <w:p w:rsidR="00183C38" w:rsidRPr="008A0538" w:rsidRDefault="00183C38" w:rsidP="00183C38">
      <w:pPr>
        <w:spacing w:after="0" w:line="240" w:lineRule="auto"/>
        <w:jc w:val="center"/>
        <w:rPr>
          <w:rFonts w:ascii="Arial" w:hAnsi="Arial" w:cs="Arial"/>
          <w:b/>
          <w:shd w:val="clear" w:color="auto" w:fill="FFFFFF"/>
        </w:rPr>
      </w:pPr>
      <w:r w:rsidRPr="008A0538">
        <w:rPr>
          <w:rFonts w:ascii="Arial" w:hAnsi="Arial" w:cs="Arial"/>
          <w:b/>
          <w:shd w:val="clear" w:color="auto" w:fill="FFFFFF"/>
        </w:rPr>
        <w:t>Illinois Registry of Anatomic Pathology</w:t>
      </w:r>
    </w:p>
    <w:p w:rsidR="00183C38" w:rsidRDefault="00183C38" w:rsidP="00183C38">
      <w:pPr>
        <w:pStyle w:val="NoSpacing"/>
        <w:jc w:val="both"/>
        <w:rPr>
          <w:rFonts w:ascii="Arial" w:hAnsi="Arial" w:cs="Arial"/>
          <w:b/>
          <w:u w:val="single"/>
        </w:rPr>
      </w:pPr>
    </w:p>
    <w:p w:rsidR="00183C38" w:rsidRPr="00FF3A29" w:rsidRDefault="00183C38" w:rsidP="00183C38">
      <w:pPr>
        <w:rPr>
          <w:rFonts w:ascii="Arial" w:hAnsi="Arial" w:cs="Arial"/>
          <w:b/>
          <w:u w:val="single"/>
        </w:rPr>
      </w:pPr>
      <w:r w:rsidRPr="00FF3A29">
        <w:rPr>
          <w:rFonts w:ascii="Arial" w:hAnsi="Arial" w:cs="Arial"/>
          <w:b/>
          <w:u w:val="single"/>
        </w:rPr>
        <w:t>Case 1:</w:t>
      </w:r>
    </w:p>
    <w:p w:rsidR="00183C38" w:rsidRPr="00FF3A29" w:rsidRDefault="00183C38" w:rsidP="00183C38">
      <w:pPr>
        <w:spacing w:after="0" w:line="240" w:lineRule="auto"/>
        <w:rPr>
          <w:rFonts w:ascii="Arial" w:hAnsi="Arial" w:cs="Arial"/>
        </w:rPr>
      </w:pPr>
      <w:r w:rsidRPr="00FF3A29">
        <w:rPr>
          <w:rFonts w:ascii="Arial" w:hAnsi="Arial" w:cs="Arial"/>
          <w:b/>
        </w:rPr>
        <w:t xml:space="preserve">Presenter: </w:t>
      </w:r>
      <w:proofErr w:type="spellStart"/>
      <w:r w:rsidRPr="00FF3A29">
        <w:rPr>
          <w:rFonts w:ascii="Arial" w:hAnsi="Arial" w:cs="Arial"/>
        </w:rPr>
        <w:t>Neelima</w:t>
      </w:r>
      <w:proofErr w:type="spellEnd"/>
      <w:r w:rsidRPr="00FF3A29">
        <w:rPr>
          <w:rFonts w:ascii="Arial" w:hAnsi="Arial" w:cs="Arial"/>
        </w:rPr>
        <w:t xml:space="preserve"> </w:t>
      </w:r>
      <w:proofErr w:type="spellStart"/>
      <w:r w:rsidRPr="00FF3A29">
        <w:rPr>
          <w:rFonts w:ascii="Arial" w:hAnsi="Arial" w:cs="Arial"/>
        </w:rPr>
        <w:t>Valluru</w:t>
      </w:r>
      <w:proofErr w:type="spellEnd"/>
      <w:r w:rsidRPr="00FF3A29">
        <w:rPr>
          <w:rFonts w:ascii="Arial" w:hAnsi="Arial" w:cs="Arial"/>
        </w:rPr>
        <w:t xml:space="preserve"> MD, PGY II</w:t>
      </w:r>
    </w:p>
    <w:p w:rsidR="00183C38" w:rsidRPr="00FF3A29" w:rsidRDefault="00183C38" w:rsidP="00183C38">
      <w:pPr>
        <w:spacing w:after="0" w:line="240" w:lineRule="auto"/>
        <w:rPr>
          <w:rFonts w:ascii="Arial" w:hAnsi="Arial" w:cs="Arial"/>
        </w:rPr>
      </w:pPr>
      <w:r w:rsidRPr="00FF3A29">
        <w:rPr>
          <w:rFonts w:ascii="Arial" w:hAnsi="Arial" w:cs="Arial"/>
          <w:b/>
        </w:rPr>
        <w:t xml:space="preserve">Attendings: </w:t>
      </w:r>
      <w:r w:rsidRPr="00FF3A29">
        <w:rPr>
          <w:rFonts w:ascii="Arial" w:hAnsi="Arial" w:cs="Arial"/>
        </w:rPr>
        <w:t xml:space="preserve">Mohammad </w:t>
      </w:r>
      <w:proofErr w:type="spellStart"/>
      <w:r w:rsidRPr="00FF3A29">
        <w:rPr>
          <w:rFonts w:ascii="Arial" w:hAnsi="Arial" w:cs="Arial"/>
        </w:rPr>
        <w:t>Atieh</w:t>
      </w:r>
      <w:proofErr w:type="spellEnd"/>
      <w:r w:rsidRPr="00FF3A29">
        <w:rPr>
          <w:rFonts w:ascii="Arial" w:hAnsi="Arial" w:cs="Arial"/>
        </w:rPr>
        <w:t xml:space="preserve"> DO </w:t>
      </w:r>
    </w:p>
    <w:p w:rsidR="00183C38" w:rsidRPr="00FF3A29" w:rsidRDefault="00183C38" w:rsidP="00183C38">
      <w:pPr>
        <w:pStyle w:val="NoSpacing"/>
        <w:rPr>
          <w:rFonts w:ascii="Arial" w:hAnsi="Arial" w:cs="Arial"/>
        </w:rPr>
      </w:pPr>
    </w:p>
    <w:p w:rsidR="00183C38" w:rsidRPr="00FF3A29" w:rsidRDefault="00183C38" w:rsidP="00183C38">
      <w:pPr>
        <w:rPr>
          <w:rFonts w:ascii="Arial" w:hAnsi="Arial" w:cs="Arial"/>
        </w:rPr>
      </w:pPr>
      <w:r w:rsidRPr="00FF3A29">
        <w:rPr>
          <w:rFonts w:ascii="Arial" w:hAnsi="Arial" w:cs="Arial"/>
          <w:b/>
        </w:rPr>
        <w:t>Clinical History:</w:t>
      </w:r>
      <w:r w:rsidRPr="00FF3A29">
        <w:rPr>
          <w:rFonts w:ascii="Arial" w:hAnsi="Arial" w:cs="Arial"/>
        </w:rPr>
        <w:t xml:space="preserve"> The patient is a 55 year old obese female with history of persistent anemia (since 2013), hyperlipidemia and occasional fatigue. She underwent colonoscopy, multiple endoscopies and EUS for workup of anemia. Colonoscopy showed hemorrhoids. Multiple EGD’s showed fungating mass and an endoscopic ultrasound revealed intramural mass predominantly arising from submucosa and deep mucosa. No malignant cells were identified on EUS guided FNA. The EGD biopsies were submitted for your review.</w:t>
      </w:r>
    </w:p>
    <w:p w:rsidR="00183C38" w:rsidRPr="00FF3A29" w:rsidRDefault="00183C38" w:rsidP="00183C38">
      <w:pPr>
        <w:pStyle w:val="NoSpacing"/>
        <w:rPr>
          <w:rFonts w:ascii="Arial" w:hAnsi="Arial" w:cs="Arial"/>
        </w:rPr>
      </w:pPr>
      <w:r w:rsidRPr="00FF3A29">
        <w:rPr>
          <w:rFonts w:ascii="Arial" w:hAnsi="Arial" w:cs="Arial"/>
          <w:b/>
        </w:rPr>
        <w:t>Final Diagnosis:</w:t>
      </w:r>
      <w:r w:rsidRPr="00FF3A29">
        <w:rPr>
          <w:rFonts w:ascii="Arial" w:hAnsi="Arial" w:cs="Arial"/>
        </w:rPr>
        <w:t xml:space="preserve"> Infiltrating, very-well differentiated adenocarcinoma, intestinal type, measuring 7.3cm in greatest dimension</w:t>
      </w:r>
    </w:p>
    <w:p w:rsidR="00183C38" w:rsidRPr="00FF3A29" w:rsidRDefault="00183C38" w:rsidP="00183C38">
      <w:pPr>
        <w:pStyle w:val="NoSpacing"/>
        <w:rPr>
          <w:rFonts w:ascii="Arial" w:hAnsi="Arial" w:cs="Arial"/>
        </w:rPr>
      </w:pPr>
    </w:p>
    <w:p w:rsidR="00183C38" w:rsidRPr="00FF3A29" w:rsidRDefault="00183C38" w:rsidP="00183C38">
      <w:pPr>
        <w:pStyle w:val="NoSpacing"/>
        <w:rPr>
          <w:rFonts w:ascii="Arial" w:eastAsia="Times New Roman" w:hAnsi="Arial" w:cs="Arial"/>
          <w:b/>
          <w:color w:val="000000"/>
        </w:rPr>
      </w:pPr>
      <w:r w:rsidRPr="00FF3A29">
        <w:rPr>
          <w:rFonts w:ascii="Arial" w:eastAsia="Times New Roman" w:hAnsi="Arial" w:cs="Arial"/>
          <w:b/>
          <w:color w:val="000000"/>
        </w:rPr>
        <w:t>Differential Diagnosis:</w:t>
      </w:r>
    </w:p>
    <w:p w:rsidR="00183C38" w:rsidRPr="00FF3A29" w:rsidRDefault="00183C38" w:rsidP="00183C38">
      <w:pPr>
        <w:pStyle w:val="NoSpacing"/>
        <w:numPr>
          <w:ilvl w:val="0"/>
          <w:numId w:val="4"/>
        </w:numPr>
        <w:rPr>
          <w:rFonts w:ascii="Arial" w:hAnsi="Arial" w:cs="Arial"/>
          <w:bCs/>
          <w:color w:val="000000"/>
        </w:rPr>
      </w:pPr>
      <w:r w:rsidRPr="00FF3A29">
        <w:rPr>
          <w:rFonts w:ascii="Arial" w:eastAsia="Times New Roman" w:hAnsi="Arial" w:cs="Arial"/>
          <w:bCs/>
          <w:color w:val="000000"/>
        </w:rPr>
        <w:t>Severe chronic active H. Pylori gastritis</w:t>
      </w:r>
    </w:p>
    <w:p w:rsidR="00183C38" w:rsidRPr="00FF3A29" w:rsidRDefault="00183C38" w:rsidP="00183C38">
      <w:pPr>
        <w:pStyle w:val="NoSpacing"/>
        <w:numPr>
          <w:ilvl w:val="0"/>
          <w:numId w:val="4"/>
        </w:numPr>
        <w:rPr>
          <w:rFonts w:ascii="Arial" w:eastAsia="Times New Roman" w:hAnsi="Arial" w:cs="Arial"/>
          <w:bCs/>
          <w:color w:val="000000"/>
        </w:rPr>
      </w:pPr>
      <w:r w:rsidRPr="00FF3A29">
        <w:rPr>
          <w:rFonts w:ascii="Arial" w:eastAsia="Times New Roman" w:hAnsi="Arial" w:cs="Arial"/>
          <w:bCs/>
          <w:color w:val="000000"/>
        </w:rPr>
        <w:t xml:space="preserve">Inflamed hyperplastic polyp/Inflammatory type polyp </w:t>
      </w:r>
    </w:p>
    <w:p w:rsidR="00183C38" w:rsidRPr="00FF3A29" w:rsidRDefault="00183C38" w:rsidP="00183C38">
      <w:pPr>
        <w:pStyle w:val="NoSpacing"/>
        <w:numPr>
          <w:ilvl w:val="0"/>
          <w:numId w:val="4"/>
        </w:numPr>
        <w:rPr>
          <w:rFonts w:ascii="Arial" w:eastAsia="Times New Roman" w:hAnsi="Arial" w:cs="Arial"/>
          <w:bCs/>
          <w:color w:val="000000"/>
        </w:rPr>
      </w:pPr>
      <w:r w:rsidRPr="00FF3A29">
        <w:rPr>
          <w:rFonts w:ascii="Arial" w:eastAsia="Times New Roman" w:hAnsi="Arial" w:cs="Arial"/>
          <w:bCs/>
          <w:color w:val="000000"/>
        </w:rPr>
        <w:t>MALT Lymphoma</w:t>
      </w:r>
    </w:p>
    <w:p w:rsidR="00183C38" w:rsidRPr="00FF3A29" w:rsidRDefault="00183C38" w:rsidP="00183C38">
      <w:pPr>
        <w:pStyle w:val="NoSpacing"/>
        <w:numPr>
          <w:ilvl w:val="0"/>
          <w:numId w:val="4"/>
        </w:numPr>
        <w:rPr>
          <w:rFonts w:ascii="Arial" w:eastAsia="Times New Roman" w:hAnsi="Arial" w:cs="Arial"/>
          <w:bCs/>
          <w:color w:val="000000"/>
        </w:rPr>
      </w:pPr>
      <w:r w:rsidRPr="00FF3A29">
        <w:rPr>
          <w:rFonts w:ascii="Arial" w:eastAsia="Times New Roman" w:hAnsi="Arial" w:cs="Arial"/>
          <w:bCs/>
          <w:color w:val="000000"/>
        </w:rPr>
        <w:t xml:space="preserve">Signet ring cell carcinoma </w:t>
      </w:r>
    </w:p>
    <w:p w:rsidR="00183C38" w:rsidRPr="00FF3A29" w:rsidRDefault="00183C38" w:rsidP="00183C38">
      <w:pPr>
        <w:pStyle w:val="NoSpacing"/>
        <w:numPr>
          <w:ilvl w:val="0"/>
          <w:numId w:val="4"/>
        </w:numPr>
        <w:rPr>
          <w:rFonts w:ascii="Arial" w:eastAsia="Times New Roman" w:hAnsi="Arial" w:cs="Arial"/>
          <w:bCs/>
          <w:color w:val="000000"/>
        </w:rPr>
      </w:pPr>
      <w:r w:rsidRPr="00FF3A29">
        <w:rPr>
          <w:rFonts w:ascii="Arial" w:eastAsia="Times New Roman" w:hAnsi="Arial" w:cs="Arial"/>
          <w:bCs/>
          <w:color w:val="000000"/>
        </w:rPr>
        <w:t>Gastrointestinal stromal tumor or other submucosal entities (given EUS findings)</w:t>
      </w:r>
    </w:p>
    <w:p w:rsidR="00183C38" w:rsidRPr="00FF3A29" w:rsidRDefault="00183C38" w:rsidP="00183C38">
      <w:pPr>
        <w:pStyle w:val="NoSpacing"/>
        <w:rPr>
          <w:rFonts w:ascii="Arial" w:eastAsia="Times New Roman" w:hAnsi="Arial" w:cs="Arial"/>
          <w:color w:val="000000"/>
        </w:rPr>
      </w:pPr>
    </w:p>
    <w:p w:rsidR="00183C38" w:rsidRPr="00FF3A29" w:rsidRDefault="00183C38" w:rsidP="00183C38">
      <w:pPr>
        <w:pStyle w:val="NoSpacing"/>
        <w:rPr>
          <w:rFonts w:ascii="Arial" w:eastAsia="Times New Roman" w:hAnsi="Arial" w:cs="Arial"/>
          <w:b/>
          <w:color w:val="000000"/>
        </w:rPr>
      </w:pPr>
      <w:r w:rsidRPr="00FF3A29">
        <w:rPr>
          <w:rFonts w:ascii="Arial" w:eastAsia="Times New Roman" w:hAnsi="Arial" w:cs="Arial"/>
          <w:b/>
          <w:color w:val="000000"/>
        </w:rPr>
        <w:t>Key Features:</w:t>
      </w:r>
    </w:p>
    <w:p w:rsidR="00183C38" w:rsidRPr="00FF3A29" w:rsidRDefault="00183C38" w:rsidP="00183C38">
      <w:pPr>
        <w:pStyle w:val="NoSpacing"/>
        <w:rPr>
          <w:rFonts w:ascii="Arial" w:eastAsia="Times New Roman" w:hAnsi="Arial" w:cs="Arial"/>
          <w:b/>
          <w:color w:val="000000"/>
          <w:u w:val="single"/>
        </w:rPr>
      </w:pPr>
      <w:r w:rsidRPr="00FF3A29">
        <w:rPr>
          <w:rFonts w:ascii="Arial" w:eastAsia="Times New Roman" w:hAnsi="Arial" w:cs="Arial"/>
          <w:b/>
          <w:color w:val="000000"/>
          <w:u w:val="single"/>
        </w:rPr>
        <w:t xml:space="preserve">Histological summary of multiple endoscopic biopsies: </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Acute  and chronic inflammation</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Neutrophilic pit abscesses</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Intestinal metaplasia</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Prominent lymphoid infiltrates</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 xml:space="preserve">Prominent reactive glandular changes </w:t>
      </w:r>
    </w:p>
    <w:p w:rsidR="00183C38" w:rsidRPr="00FF3A29" w:rsidRDefault="00183C38" w:rsidP="00183C38">
      <w:pPr>
        <w:pStyle w:val="NoSpacing"/>
        <w:numPr>
          <w:ilvl w:val="0"/>
          <w:numId w:val="5"/>
        </w:numPr>
        <w:rPr>
          <w:rFonts w:ascii="Arial" w:eastAsia="Times New Roman" w:hAnsi="Arial" w:cs="Arial"/>
          <w:color w:val="000000"/>
        </w:rPr>
      </w:pPr>
      <w:r w:rsidRPr="00FF3A29">
        <w:rPr>
          <w:rFonts w:ascii="Arial" w:eastAsia="Times New Roman" w:hAnsi="Arial" w:cs="Arial"/>
          <w:color w:val="000000"/>
        </w:rPr>
        <w:t xml:space="preserve">No overt features of malignancy are identified </w:t>
      </w:r>
    </w:p>
    <w:p w:rsidR="00183C38" w:rsidRPr="00FF3A29" w:rsidRDefault="00183C38" w:rsidP="00183C38">
      <w:pPr>
        <w:pStyle w:val="NoSpacing"/>
        <w:ind w:left="720"/>
        <w:rPr>
          <w:rFonts w:ascii="Arial" w:eastAsia="Times New Roman" w:hAnsi="Arial" w:cs="Arial"/>
          <w:color w:val="000000"/>
        </w:rPr>
      </w:pPr>
    </w:p>
    <w:p w:rsidR="00183C38" w:rsidRPr="00FF3A29" w:rsidRDefault="00183C38" w:rsidP="00183C38">
      <w:pPr>
        <w:pStyle w:val="NoSpacing"/>
        <w:rPr>
          <w:rFonts w:ascii="Arial" w:eastAsiaTheme="minorEastAsia" w:hAnsi="Arial" w:cs="Arial"/>
          <w:b/>
          <w:noProof/>
        </w:rPr>
      </w:pPr>
      <w:r>
        <w:rPr>
          <w:rFonts w:ascii="Arial" w:eastAsiaTheme="minorEastAsia" w:hAnsi="Arial" w:cs="Arial"/>
          <w:b/>
          <w:noProof/>
        </w:rPr>
        <w:t>Histology of</w:t>
      </w:r>
      <w:r w:rsidRPr="00FF3A29">
        <w:rPr>
          <w:rFonts w:ascii="Arial" w:eastAsiaTheme="minorEastAsia" w:hAnsi="Arial" w:cs="Arial"/>
          <w:b/>
          <w:noProof/>
        </w:rPr>
        <w:t xml:space="preserve"> excision specimen (subtotal gastrectomy):</w:t>
      </w:r>
    </w:p>
    <w:p w:rsidR="00183C38" w:rsidRPr="00FF3A29" w:rsidRDefault="00183C38" w:rsidP="00183C38">
      <w:pPr>
        <w:pStyle w:val="NoSpacing"/>
        <w:rPr>
          <w:rFonts w:ascii="Arial" w:eastAsiaTheme="minorEastAsia" w:hAnsi="Arial" w:cs="Arial"/>
          <w:noProof/>
        </w:rPr>
      </w:pPr>
      <w:r w:rsidRPr="00FF3A29">
        <w:rPr>
          <w:rFonts w:ascii="Arial" w:eastAsiaTheme="minorEastAsia" w:hAnsi="Arial" w:cs="Arial"/>
          <w:noProof/>
        </w:rPr>
        <w:t>For the most part, the tumor consists of a highly infiltrative adenocarcinoma composed predominantly of dilated and focally branching glands with large areas of intraluminal debris and a very-well differentiated lining (including the presence of goblet cells within infiltrating tumor gland epithelium).  The characteristic archietectural features of the neoplastic glands include: Tortous glands, branching glands, anastomosing glands, cystically dilated glands with intraglandular necrotic debis, spiky glands and glands with intestinal metaplasia within the infiltrating tumor epithelium.</w:t>
      </w:r>
    </w:p>
    <w:p w:rsidR="00183C38" w:rsidRPr="00FF3A29" w:rsidRDefault="00183C38" w:rsidP="00183C38">
      <w:pPr>
        <w:pStyle w:val="NoSpacing"/>
        <w:rPr>
          <w:rFonts w:ascii="Arial" w:eastAsiaTheme="minorEastAsia" w:hAnsi="Arial" w:cs="Arial"/>
          <w:noProof/>
        </w:rPr>
      </w:pPr>
      <w:r w:rsidRPr="00FF3A29">
        <w:rPr>
          <w:rFonts w:ascii="Arial" w:eastAsiaTheme="minorEastAsia" w:hAnsi="Arial" w:cs="Arial"/>
          <w:noProof/>
        </w:rPr>
        <w:t xml:space="preserve">Additionally, tumor associated lymphoid hyperplasia and areas of microabscess formation are present (areas of gland rupture with associated histiocytic reaction are also seen).  In most of the sections, the mucosa overlying the invasive tumor shows apparent chronic gastritis with intestinal metaplasia and no overtly identified superficial dysplasia, however, within this mucosa, the deeper basal glands are seen in multiple areas individually breaching the muscularis mucosa and invading the submucosa and beyond, and extending to the inked circumferential/serosal surface; rare areas of less well differentiated tumor glands with associated increased mucin production are noted in the deeper invasive component of the tumor.  Immunostains were performed to further characterize the lesion.  The tumor cells are positive for pankeratin (AE1/AE3), CK7, CK20, CDX2, CD10 and monoclonal CEA.  The tumor is negative for EBER-ISH, Her-2-Neu (0-1+ staining), p53, GATA-3, PAX-8 and TTF-1.  Overall, based on the staining </w:t>
      </w:r>
      <w:r w:rsidRPr="00FF3A29">
        <w:rPr>
          <w:rFonts w:ascii="Arial" w:eastAsiaTheme="minorEastAsia" w:hAnsi="Arial" w:cs="Arial"/>
          <w:noProof/>
        </w:rPr>
        <w:lastRenderedPageBreak/>
        <w:t>profile and morphology of the tumor, the findings are most consistent with the so-called "very-well differentiated, intestinal type, form of gastric adenocarcinoma"</w:t>
      </w:r>
    </w:p>
    <w:p w:rsidR="00183C38" w:rsidRDefault="00183C38" w:rsidP="00183C38">
      <w:pPr>
        <w:pStyle w:val="NoSpacing"/>
        <w:rPr>
          <w:rFonts w:ascii="Arial" w:eastAsiaTheme="minorEastAsia" w:hAnsi="Arial" w:cs="Arial"/>
          <w:noProof/>
        </w:rPr>
      </w:pPr>
    </w:p>
    <w:p w:rsidR="00183C38" w:rsidRPr="00D46BCF" w:rsidRDefault="00183C38" w:rsidP="00183C38">
      <w:pPr>
        <w:pStyle w:val="NoSpacing"/>
        <w:rPr>
          <w:rFonts w:ascii="Arial" w:eastAsiaTheme="minorEastAsia" w:hAnsi="Arial" w:cs="Arial"/>
          <w:noProof/>
        </w:rPr>
      </w:pPr>
      <w:r w:rsidRPr="00FF3A29">
        <w:rPr>
          <w:rFonts w:ascii="Arial" w:eastAsiaTheme="minorEastAsia" w:hAnsi="Arial" w:cs="Arial"/>
          <w:noProof/>
        </w:rPr>
        <w:drawing>
          <wp:inline distT="0" distB="0" distL="0" distR="0">
            <wp:extent cx="2724150" cy="2352675"/>
            <wp:effectExtent l="19050" t="0" r="0" b="0"/>
            <wp:docPr id="7" name="Picture 1" descr="C:\Users\nevalluru\Desktop\Irap low poer resection 2.tif"/>
            <wp:cNvGraphicFramePr/>
            <a:graphic xmlns:a="http://schemas.openxmlformats.org/drawingml/2006/main">
              <a:graphicData uri="http://schemas.openxmlformats.org/drawingml/2006/picture">
                <pic:pic xmlns:pic="http://schemas.openxmlformats.org/drawingml/2006/picture">
                  <pic:nvPicPr>
                    <pic:cNvPr id="6" name="Picture 2" descr="C:\Users\nevalluru\Desktop\Irap low poer resection 2.tif"/>
                    <pic:cNvPicPr>
                      <a:picLocks noChangeAspect="1" noChangeArrowheads="1"/>
                    </pic:cNvPicPr>
                  </pic:nvPicPr>
                  <pic:blipFill>
                    <a:blip r:embed="rId9" cstate="print"/>
                    <a:srcRect/>
                    <a:stretch>
                      <a:fillRect/>
                    </a:stretch>
                  </pic:blipFill>
                  <pic:spPr bwMode="auto">
                    <a:xfrm>
                      <a:off x="0" y="0"/>
                      <a:ext cx="2724150" cy="2352675"/>
                    </a:xfrm>
                    <a:prstGeom prst="rect">
                      <a:avLst/>
                    </a:prstGeom>
                    <a:noFill/>
                    <a:ln w="28575">
                      <a:noFill/>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lc="http://schemas.openxmlformats.org/drawingml/2006/lockedCanvas" val="1"/>
                      </a:ext>
                    </a:extLst>
                  </pic:spPr>
                </pic:pic>
              </a:graphicData>
            </a:graphic>
          </wp:inline>
        </w:drawing>
      </w:r>
      <w:r w:rsidRPr="00FF3A29">
        <w:rPr>
          <w:rFonts w:ascii="Arial" w:eastAsiaTheme="minorEastAsia" w:hAnsi="Arial" w:cs="Arial"/>
          <w:noProof/>
        </w:rPr>
        <w:t xml:space="preserve"> </w:t>
      </w:r>
      <w:r w:rsidRPr="00FF3A29">
        <w:rPr>
          <w:rFonts w:ascii="Arial" w:eastAsiaTheme="minorEastAsia" w:hAnsi="Arial" w:cs="Arial"/>
          <w:noProof/>
        </w:rPr>
        <w:drawing>
          <wp:inline distT="0" distB="0" distL="0" distR="0">
            <wp:extent cx="2886075" cy="2352675"/>
            <wp:effectExtent l="19050" t="0" r="9525" b="0"/>
            <wp:docPr id="8" name="Picture 5" descr="C:\Users\nevalluru\Desktop\mm 3.tif"/>
            <wp:cNvGraphicFramePr/>
            <a:graphic xmlns:a="http://schemas.openxmlformats.org/drawingml/2006/main">
              <a:graphicData uri="http://schemas.openxmlformats.org/drawingml/2006/picture">
                <pic:pic xmlns:pic="http://schemas.openxmlformats.org/drawingml/2006/picture">
                  <pic:nvPicPr>
                    <pic:cNvPr id="14339" name="Picture 3" descr="C:\Users\nevalluru\Desktop\mm 3.tif"/>
                    <pic:cNvPicPr>
                      <a:picLocks noGrp="1" noChangeAspect="1" noChangeArrowheads="1"/>
                    </pic:cNvPicPr>
                  </pic:nvPicPr>
                  <pic:blipFill>
                    <a:blip r:embed="rId10" cstate="print"/>
                    <a:srcRect/>
                    <a:stretch>
                      <a:fillRect/>
                    </a:stretch>
                  </pic:blipFill>
                  <pic:spPr bwMode="auto">
                    <a:xfrm>
                      <a:off x="0" y="0"/>
                      <a:ext cx="2886075" cy="2352675"/>
                    </a:xfrm>
                    <a:prstGeom prst="rect">
                      <a:avLst/>
                    </a:prstGeom>
                    <a:noFill/>
                    <a:ln w="28575">
                      <a:noFill/>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lc="http://schemas.openxmlformats.org/drawingml/2006/lockedCanvas" val="1"/>
                      </a:ext>
                    </a:extLst>
                  </pic:spPr>
                </pic:pic>
              </a:graphicData>
            </a:graphic>
          </wp:inline>
        </w:drawing>
      </w:r>
    </w:p>
    <w:p w:rsidR="00183C38" w:rsidRPr="00D46BCF" w:rsidRDefault="00183C38" w:rsidP="00183C38">
      <w:pPr>
        <w:pStyle w:val="NoSpacing"/>
        <w:rPr>
          <w:rFonts w:ascii="Arial" w:eastAsiaTheme="minorEastAsia" w:hAnsi="Arial" w:cs="Arial"/>
          <w:noProof/>
        </w:rPr>
      </w:pPr>
    </w:p>
    <w:p w:rsidR="00183C38" w:rsidRPr="00D46BCF" w:rsidRDefault="00183C38" w:rsidP="00183C38">
      <w:pPr>
        <w:pStyle w:val="NoSpacing"/>
        <w:ind w:left="-270" w:right="-540"/>
        <w:rPr>
          <w:rFonts w:ascii="Arial" w:eastAsiaTheme="minorEastAsia" w:hAnsi="Arial" w:cs="Arial"/>
          <w:noProof/>
        </w:rPr>
      </w:pPr>
      <w:r w:rsidRPr="00D46BCF">
        <w:rPr>
          <w:rFonts w:ascii="Arial" w:eastAsiaTheme="minorEastAsia" w:hAnsi="Arial" w:cs="Arial"/>
          <w:noProof/>
        </w:rPr>
        <w:t xml:space="preserve">  </w:t>
      </w:r>
    </w:p>
    <w:p w:rsidR="00183C38" w:rsidRPr="00D92F6A" w:rsidRDefault="00183C38" w:rsidP="00183C38">
      <w:pPr>
        <w:pStyle w:val="NoSpacing"/>
        <w:rPr>
          <w:rFonts w:ascii="Arial" w:eastAsia="Times New Roman" w:hAnsi="Arial" w:cs="Arial"/>
          <w:b/>
          <w:bCs/>
          <w:color w:val="000000"/>
          <w:u w:val="single"/>
        </w:rPr>
      </w:pPr>
      <w:r w:rsidRPr="00D92F6A">
        <w:rPr>
          <w:rFonts w:ascii="Arial" w:eastAsia="Times New Roman" w:hAnsi="Arial" w:cs="Arial"/>
          <w:b/>
          <w:bCs/>
          <w:color w:val="000000"/>
          <w:u w:val="single"/>
        </w:rPr>
        <w:t>Review of Endoscopic Biopsies</w:t>
      </w:r>
    </w:p>
    <w:p w:rsidR="00183C38" w:rsidRPr="00D92F6A" w:rsidRDefault="00183C38" w:rsidP="00183C38">
      <w:pPr>
        <w:pStyle w:val="NoSpacing"/>
        <w:rPr>
          <w:rFonts w:ascii="Arial" w:hAnsi="Arial" w:cs="Arial"/>
          <w:b/>
        </w:rPr>
      </w:pPr>
      <w:r w:rsidRPr="00D92F6A">
        <w:rPr>
          <w:rFonts w:ascii="Arial" w:hAnsi="Arial" w:cs="Arial"/>
          <w:b/>
        </w:rPr>
        <w:t>Important diagnostic clues</w:t>
      </w:r>
    </w:p>
    <w:p w:rsidR="00183C38" w:rsidRPr="00D92F6A" w:rsidRDefault="00183C38" w:rsidP="00183C38">
      <w:pPr>
        <w:pStyle w:val="NoSpacing"/>
        <w:rPr>
          <w:rFonts w:ascii="Arial" w:hAnsi="Arial" w:cs="Arial"/>
        </w:rPr>
      </w:pPr>
      <w:r w:rsidRPr="00D92F6A">
        <w:rPr>
          <w:rFonts w:ascii="Arial" w:hAnsi="Arial" w:cs="Arial"/>
        </w:rPr>
        <w:t>-Cytoarchitectural features</w:t>
      </w:r>
    </w:p>
    <w:p w:rsidR="00183C38" w:rsidRPr="00D92F6A" w:rsidRDefault="00183C38" w:rsidP="00183C38">
      <w:pPr>
        <w:pStyle w:val="NoSpacing"/>
        <w:rPr>
          <w:rFonts w:ascii="Arial" w:hAnsi="Arial" w:cs="Arial"/>
        </w:rPr>
      </w:pPr>
      <w:r w:rsidRPr="00D92F6A">
        <w:rPr>
          <w:rFonts w:ascii="Arial" w:hAnsi="Arial" w:cs="Arial"/>
        </w:rPr>
        <w:t>-Intraglandular necrotic debris</w:t>
      </w:r>
    </w:p>
    <w:p w:rsidR="00183C38" w:rsidRDefault="00183C38" w:rsidP="00183C38">
      <w:pPr>
        <w:pStyle w:val="NoSpacing"/>
      </w:pPr>
    </w:p>
    <w:p w:rsidR="00183C38" w:rsidRDefault="00183C38" w:rsidP="00183C38">
      <w:pPr>
        <w:pStyle w:val="NoSpacing"/>
      </w:pPr>
    </w:p>
    <w:p w:rsidR="00183C38" w:rsidRDefault="00183C38" w:rsidP="00183C38">
      <w:pPr>
        <w:pStyle w:val="NoSpacing"/>
      </w:pPr>
    </w:p>
    <w:p w:rsidR="00183C38" w:rsidRPr="006B21E9" w:rsidRDefault="00183C38" w:rsidP="00183C38">
      <w:pPr>
        <w:pStyle w:val="NoSpacing"/>
      </w:pPr>
      <w:r w:rsidRPr="006B21E9">
        <w:rPr>
          <w:noProof/>
        </w:rPr>
        <w:drawing>
          <wp:inline distT="0" distB="0" distL="0" distR="0">
            <wp:extent cx="1914525" cy="2505075"/>
            <wp:effectExtent l="19050" t="0" r="9525" b="0"/>
            <wp:docPr id="9" name="Picture 16" descr="C:\Users\nevalluru\Desktop\biopsy 2.tif"/>
            <wp:cNvGraphicFramePr/>
            <a:graphic xmlns:a="http://schemas.openxmlformats.org/drawingml/2006/main">
              <a:graphicData uri="http://schemas.openxmlformats.org/drawingml/2006/picture">
                <pic:pic xmlns:pic="http://schemas.openxmlformats.org/drawingml/2006/picture">
                  <pic:nvPicPr>
                    <pic:cNvPr id="3" name="Picture 3" descr="C:\Users\nevalluru\Desktop\biopsy 2.tif"/>
                    <pic:cNvPicPr>
                      <a:picLocks noChangeAspect="1" noChangeArrowheads="1"/>
                    </pic:cNvPicPr>
                  </pic:nvPicPr>
                  <pic:blipFill>
                    <a:blip r:embed="rId11" cstate="print"/>
                    <a:srcRect l="20000" t="7400" r="22500" b="7400"/>
                    <a:stretch>
                      <a:fillRect/>
                    </a:stretch>
                  </pic:blipFill>
                  <pic:spPr bwMode="auto">
                    <a:xfrm>
                      <a:off x="0" y="0"/>
                      <a:ext cx="1914525" cy="2505075"/>
                    </a:xfrm>
                    <a:prstGeom prst="rect">
                      <a:avLst/>
                    </a:prstGeom>
                    <a:noFill/>
                    <a:ln w="28575">
                      <a:noFill/>
                    </a:ln>
                  </pic:spPr>
                </pic:pic>
              </a:graphicData>
            </a:graphic>
          </wp:inline>
        </w:drawing>
      </w:r>
      <w:r w:rsidRPr="006B21E9">
        <w:rPr>
          <w:noProof/>
        </w:rPr>
        <w:drawing>
          <wp:inline distT="0" distB="0" distL="0" distR="0">
            <wp:extent cx="2057400" cy="2505075"/>
            <wp:effectExtent l="19050" t="0" r="0" b="0"/>
            <wp:docPr id="12" name="Picture 12" descr="C:\Users\nevalluru\Desktop\IRAP Pictures\INTRALUMINAL DEBRI.tif"/>
            <wp:cNvGraphicFramePr/>
            <a:graphic xmlns:a="http://schemas.openxmlformats.org/drawingml/2006/main">
              <a:graphicData uri="http://schemas.openxmlformats.org/drawingml/2006/picture">
                <pic:pic xmlns:pic="http://schemas.openxmlformats.org/drawingml/2006/picture">
                  <pic:nvPicPr>
                    <pic:cNvPr id="1026" name="Picture 2" descr="C:\Users\nevalluru\Desktop\IRAP Pictures\INTRALUMINAL DEBRI.tif"/>
                    <pic:cNvPicPr>
                      <a:picLocks noChangeAspect="1" noChangeArrowheads="1"/>
                    </pic:cNvPicPr>
                  </pic:nvPicPr>
                  <pic:blipFill>
                    <a:blip r:embed="rId12" cstate="print"/>
                    <a:srcRect l="30833" t="19413" r="40000" b="10104"/>
                    <a:stretch>
                      <a:fillRect/>
                    </a:stretch>
                  </pic:blipFill>
                  <pic:spPr bwMode="auto">
                    <a:xfrm>
                      <a:off x="0" y="0"/>
                      <a:ext cx="2057400" cy="2505075"/>
                    </a:xfrm>
                    <a:prstGeom prst="rect">
                      <a:avLst/>
                    </a:prstGeom>
                    <a:noFill/>
                    <a:ln w="28575">
                      <a:noFill/>
                    </a:ln>
                  </pic:spPr>
                </pic:pic>
              </a:graphicData>
            </a:graphic>
          </wp:inline>
        </w:drawing>
      </w:r>
      <w:r w:rsidRPr="006B21E9">
        <w:rPr>
          <w:noProof/>
        </w:rPr>
        <w:t xml:space="preserve"> </w:t>
      </w:r>
      <w:r w:rsidRPr="006B21E9">
        <w:rPr>
          <w:noProof/>
        </w:rPr>
        <w:drawing>
          <wp:inline distT="0" distB="0" distL="0" distR="0">
            <wp:extent cx="1828800" cy="2505075"/>
            <wp:effectExtent l="19050" t="0" r="0" b="0"/>
            <wp:docPr id="15" name="Picture 15" descr="C:\Users\nevalluru\Desktop\biopsy 1.tif"/>
            <wp:cNvGraphicFramePr/>
            <a:graphic xmlns:a="http://schemas.openxmlformats.org/drawingml/2006/main">
              <a:graphicData uri="http://schemas.openxmlformats.org/drawingml/2006/picture">
                <pic:pic xmlns:pic="http://schemas.openxmlformats.org/drawingml/2006/picture">
                  <pic:nvPicPr>
                    <pic:cNvPr id="2" name="Picture 2" descr="C:\Users\nevalluru\Desktop\biopsy 1.tif"/>
                    <pic:cNvPicPr>
                      <a:picLocks noChangeAspect="1" noChangeArrowheads="1"/>
                    </pic:cNvPicPr>
                  </pic:nvPicPr>
                  <pic:blipFill>
                    <a:blip r:embed="rId13" cstate="print"/>
                    <a:srcRect l="31667" t="18760" r="39166" b="21600"/>
                    <a:stretch>
                      <a:fillRect/>
                    </a:stretch>
                  </pic:blipFill>
                  <pic:spPr bwMode="auto">
                    <a:xfrm>
                      <a:off x="0" y="0"/>
                      <a:ext cx="1828800" cy="2505075"/>
                    </a:xfrm>
                    <a:prstGeom prst="rect">
                      <a:avLst/>
                    </a:prstGeom>
                    <a:noFill/>
                    <a:ln w="28575">
                      <a:noFill/>
                    </a:ln>
                  </pic:spPr>
                </pic:pic>
              </a:graphicData>
            </a:graphic>
          </wp:inline>
        </w:drawing>
      </w:r>
      <w:r w:rsidRPr="006B21E9">
        <w:rPr>
          <w:noProof/>
        </w:rPr>
        <w:t xml:space="preserve"> </w:t>
      </w:r>
    </w:p>
    <w:p w:rsidR="00183C38" w:rsidRDefault="00183C38" w:rsidP="00183C38">
      <w:pPr>
        <w:pStyle w:val="NoSpacing"/>
        <w:rPr>
          <w:rFonts w:ascii="Arial" w:eastAsia="Times New Roman" w:hAnsi="Arial" w:cs="Arial"/>
          <w:b/>
          <w:bCs/>
          <w:color w:val="000000"/>
          <w:u w:val="single"/>
        </w:rPr>
      </w:pPr>
    </w:p>
    <w:p w:rsidR="00183C38" w:rsidRDefault="00183C38" w:rsidP="00183C38">
      <w:pPr>
        <w:pStyle w:val="NoSpacing"/>
        <w:rPr>
          <w:rFonts w:ascii="Arial" w:eastAsia="Times New Roman" w:hAnsi="Arial" w:cs="Arial"/>
          <w:b/>
          <w:color w:val="000000"/>
        </w:rPr>
      </w:pPr>
    </w:p>
    <w:p w:rsidR="00183C38" w:rsidRDefault="00183C38" w:rsidP="00183C38">
      <w:pPr>
        <w:pStyle w:val="NoSpacing"/>
        <w:rPr>
          <w:rFonts w:ascii="Arial" w:eastAsia="Times New Roman" w:hAnsi="Arial" w:cs="Arial"/>
          <w:b/>
          <w:color w:val="000000"/>
        </w:rPr>
      </w:pPr>
    </w:p>
    <w:p w:rsidR="00183C38" w:rsidRDefault="00183C38" w:rsidP="00183C38">
      <w:pPr>
        <w:pStyle w:val="NoSpacing"/>
        <w:rPr>
          <w:b/>
        </w:rPr>
      </w:pPr>
    </w:p>
    <w:p w:rsidR="00183C38" w:rsidRPr="00D92F6A" w:rsidRDefault="00183C38" w:rsidP="00183C38">
      <w:pPr>
        <w:pStyle w:val="NoSpacing"/>
        <w:rPr>
          <w:rFonts w:ascii="Arial" w:hAnsi="Arial" w:cs="Arial"/>
          <w:b/>
        </w:rPr>
      </w:pPr>
      <w:r w:rsidRPr="00D92F6A">
        <w:rPr>
          <w:rFonts w:ascii="Arial" w:hAnsi="Arial" w:cs="Arial"/>
          <w:b/>
        </w:rPr>
        <w:t>Take home points:</w:t>
      </w:r>
    </w:p>
    <w:p w:rsidR="00183C38" w:rsidRPr="00D92F6A" w:rsidRDefault="00183C38" w:rsidP="00183C38">
      <w:pPr>
        <w:pStyle w:val="NoSpacing"/>
        <w:numPr>
          <w:ilvl w:val="0"/>
          <w:numId w:val="6"/>
        </w:numPr>
        <w:rPr>
          <w:rFonts w:ascii="Arial" w:hAnsi="Arial" w:cs="Arial"/>
        </w:rPr>
      </w:pPr>
      <w:r w:rsidRPr="00D92F6A">
        <w:rPr>
          <w:rFonts w:ascii="Arial" w:hAnsi="Arial" w:cs="Arial"/>
        </w:rPr>
        <w:t>Rare tumor entity</w:t>
      </w:r>
    </w:p>
    <w:p w:rsidR="00183C38" w:rsidRPr="00D92F6A" w:rsidRDefault="00183C38" w:rsidP="00183C38">
      <w:pPr>
        <w:pStyle w:val="NoSpacing"/>
        <w:numPr>
          <w:ilvl w:val="0"/>
          <w:numId w:val="6"/>
        </w:numPr>
        <w:rPr>
          <w:rFonts w:ascii="Arial" w:hAnsi="Arial" w:cs="Arial"/>
        </w:rPr>
      </w:pPr>
      <w:r w:rsidRPr="00D92F6A">
        <w:rPr>
          <w:rFonts w:ascii="Arial" w:hAnsi="Arial" w:cs="Arial"/>
        </w:rPr>
        <w:t xml:space="preserve">Diagnostically challenging on endoscopic biopsies </w:t>
      </w:r>
    </w:p>
    <w:p w:rsidR="00183C38" w:rsidRPr="00D92F6A" w:rsidRDefault="00183C38" w:rsidP="00183C38">
      <w:pPr>
        <w:pStyle w:val="NoSpacing"/>
        <w:numPr>
          <w:ilvl w:val="0"/>
          <w:numId w:val="6"/>
        </w:numPr>
        <w:rPr>
          <w:rFonts w:ascii="Arial" w:hAnsi="Arial" w:cs="Arial"/>
          <w:b/>
        </w:rPr>
      </w:pPr>
      <w:r w:rsidRPr="00D92F6A">
        <w:rPr>
          <w:rFonts w:ascii="Arial" w:hAnsi="Arial" w:cs="Arial"/>
          <w:b/>
        </w:rPr>
        <w:t>Histological characteristics:</w:t>
      </w:r>
    </w:p>
    <w:p w:rsidR="00183C38" w:rsidRPr="00D92F6A" w:rsidRDefault="00183C38" w:rsidP="00183C38">
      <w:pPr>
        <w:pStyle w:val="NoSpacing"/>
        <w:rPr>
          <w:rFonts w:ascii="Arial" w:hAnsi="Arial" w:cs="Arial"/>
        </w:rPr>
      </w:pPr>
      <w:r w:rsidRPr="00D92F6A">
        <w:rPr>
          <w:rFonts w:ascii="Arial" w:hAnsi="Arial" w:cs="Arial"/>
        </w:rPr>
        <w:t xml:space="preserve">              1) Highly differentiated glands</w:t>
      </w:r>
    </w:p>
    <w:p w:rsidR="00183C38" w:rsidRPr="00D92F6A" w:rsidRDefault="00183C38" w:rsidP="00183C38">
      <w:pPr>
        <w:pStyle w:val="NoSpacing"/>
        <w:rPr>
          <w:rFonts w:ascii="Arial" w:hAnsi="Arial" w:cs="Arial"/>
        </w:rPr>
      </w:pPr>
      <w:r w:rsidRPr="00D92F6A">
        <w:rPr>
          <w:rFonts w:ascii="Arial" w:hAnsi="Arial" w:cs="Arial"/>
        </w:rPr>
        <w:lastRenderedPageBreak/>
        <w:t xml:space="preserve">             2) Low-grade/minimal nuclear atypia </w:t>
      </w:r>
    </w:p>
    <w:p w:rsidR="00183C38" w:rsidRPr="00D92F6A" w:rsidRDefault="00183C38" w:rsidP="00183C38">
      <w:pPr>
        <w:pStyle w:val="NoSpacing"/>
        <w:rPr>
          <w:rFonts w:ascii="Arial" w:hAnsi="Arial" w:cs="Arial"/>
        </w:rPr>
      </w:pPr>
      <w:r w:rsidRPr="00D92F6A">
        <w:rPr>
          <w:rFonts w:ascii="Arial" w:hAnsi="Arial" w:cs="Arial"/>
        </w:rPr>
        <w:t xml:space="preserve">             3) Morphology mimics “intestinal metaplasia” </w:t>
      </w:r>
    </w:p>
    <w:p w:rsidR="00183C38" w:rsidRPr="00FF3A29" w:rsidRDefault="00183C38" w:rsidP="00183C38">
      <w:pPr>
        <w:pStyle w:val="NoSpacing"/>
        <w:rPr>
          <w:rFonts w:ascii="Arial" w:eastAsia="Times New Roman" w:hAnsi="Arial" w:cs="Arial"/>
          <w:b/>
          <w:color w:val="000000"/>
        </w:rPr>
      </w:pPr>
    </w:p>
    <w:p w:rsidR="00183C38" w:rsidRDefault="00183C38" w:rsidP="00183C38">
      <w:pPr>
        <w:pStyle w:val="NoSpacing"/>
        <w:rPr>
          <w:rFonts w:ascii="Arial" w:eastAsia="Times New Roman" w:hAnsi="Arial" w:cs="Arial"/>
          <w:b/>
          <w:color w:val="000000"/>
        </w:rPr>
      </w:pPr>
    </w:p>
    <w:p w:rsidR="00183C38" w:rsidRPr="00D46BCF" w:rsidRDefault="00183C38" w:rsidP="00183C38">
      <w:pPr>
        <w:pStyle w:val="NoSpacing"/>
        <w:rPr>
          <w:rFonts w:ascii="Arial" w:eastAsia="Times New Roman" w:hAnsi="Arial" w:cs="Arial"/>
          <w:b/>
          <w:color w:val="000000"/>
        </w:rPr>
      </w:pPr>
      <w:r w:rsidRPr="00D46BCF">
        <w:rPr>
          <w:rFonts w:ascii="Arial" w:eastAsia="Times New Roman" w:hAnsi="Arial" w:cs="Arial"/>
          <w:b/>
          <w:color w:val="000000"/>
        </w:rPr>
        <w:t xml:space="preserve">References: </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 xml:space="preserve">1: Ushiku T, Arnason T, Ban S, Hishima T, Shimizu M, Fukayama M, Lauwers GY. Very well differentiated gastric carcinoma of intestinal type: analysis of diagnostic criteria. Mod Pathol. 2013 Dec;26(12):1620-31. </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2: Okamoto N, Kawachi H, Yoshida T, Kitagaki K, Sekine M, Kojima K, Kawano T,Eishi Y. "Crawling-type" adenocarcinoma of the stomach: a distinct entity preceding poorly differentiated adenocarcinoma. Gastric Cancer. 2013Apr;16(2):220-32.</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 xml:space="preserve">3: McFarland S, Manivel CJ, Ramaswamy A, Mesa H. Gastric-type extremely well-differentiated adenocarcinoma arising in the blind pouch of a bypassed stomach, presenting as colonic pseudo-obstruction. Ann Gastroenterol. 2015 Oct-Dec;28(4):499-501. </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4: Joo M, Han SH. Gastric-Type Extremely Well-Differentiated Adenocarcinoma of the Stomach: A Challenge for Preoperative Diagnosis. J Pathol Transl Med. 2016 Jan;50(1):71-4.</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5: Lee WA. Gastric extremely well differentiated adenocarcinoma of gastric phenotype: as a gastric counterpart of adenoma malignum of the uterine cervix. World J Surg Oncol. 2005 May 23;3:28.</w:t>
      </w:r>
    </w:p>
    <w:p w:rsidR="00183C38" w:rsidRPr="00FF3A29" w:rsidRDefault="00183C38" w:rsidP="00183C38">
      <w:pPr>
        <w:pStyle w:val="NoSpacing"/>
        <w:jc w:val="both"/>
        <w:rPr>
          <w:rFonts w:ascii="Arial" w:eastAsiaTheme="minorEastAsia" w:hAnsi="Arial" w:cs="Arial"/>
          <w:noProof/>
        </w:rPr>
      </w:pPr>
      <w:r w:rsidRPr="00FF3A29">
        <w:rPr>
          <w:rFonts w:ascii="Arial" w:eastAsiaTheme="minorEastAsia" w:hAnsi="Arial" w:cs="Arial"/>
          <w:noProof/>
        </w:rPr>
        <w:t>6: Niimi C, Goto H, Ohmiya N, Niwa Y, Hayakawa T, Nagasaka T, Nakashima N. Usefulness of p53 and Ki-67 immunohistochemical analysis for preoperative diagnosis of extremely well-differentiated gastric adenocarcinoma. Am J Clin Pathol. 2002 Nov;118(5):683-92.</w:t>
      </w:r>
    </w:p>
    <w:p w:rsidR="00183C38" w:rsidRPr="00D46BCF" w:rsidRDefault="00183C38" w:rsidP="00183C38">
      <w:pPr>
        <w:pStyle w:val="NoSpacing"/>
        <w:jc w:val="both"/>
        <w:rPr>
          <w:rFonts w:ascii="Arial" w:hAnsi="Arial" w:cs="Arial"/>
          <w:b/>
          <w:u w:val="single"/>
        </w:rPr>
      </w:pPr>
    </w:p>
    <w:p w:rsidR="00183C38" w:rsidRPr="00D46BCF" w:rsidRDefault="00183C38" w:rsidP="00183C38">
      <w:pPr>
        <w:pStyle w:val="Default"/>
        <w:rPr>
          <w:b/>
          <w:bCs/>
          <w:sz w:val="22"/>
          <w:szCs w:val="22"/>
        </w:rPr>
      </w:pPr>
    </w:p>
    <w:p w:rsidR="00183C38" w:rsidRPr="00D46BCF" w:rsidRDefault="00183C38" w:rsidP="00183C38">
      <w:pPr>
        <w:pStyle w:val="Default"/>
        <w:rPr>
          <w:b/>
          <w:bCs/>
          <w:sz w:val="22"/>
          <w:szCs w:val="22"/>
        </w:rPr>
      </w:pPr>
    </w:p>
    <w:p w:rsidR="00183C38" w:rsidRPr="00D46BCF" w:rsidRDefault="00183C38" w:rsidP="00183C38">
      <w:pPr>
        <w:pStyle w:val="Default"/>
        <w:rPr>
          <w:b/>
          <w:bCs/>
          <w:sz w:val="22"/>
          <w:szCs w:val="22"/>
        </w:rPr>
      </w:pPr>
    </w:p>
    <w:p w:rsidR="00183C38" w:rsidRDefault="00183C38" w:rsidP="00183C38"/>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183C38" w:rsidRDefault="00183C38">
      <w:pPr>
        <w:pStyle w:val="normal0"/>
        <w:spacing w:after="0" w:line="240" w:lineRule="auto"/>
        <w:jc w:val="cente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5E6A92" w:rsidRDefault="005E6A92" w:rsidP="00813E6A">
      <w:pPr>
        <w:pStyle w:val="Default"/>
        <w:rPr>
          <w:b/>
          <w:bCs/>
          <w:sz w:val="22"/>
          <w:szCs w:val="22"/>
        </w:rPr>
      </w:pPr>
    </w:p>
    <w:p w:rsidR="00813E6A" w:rsidRPr="00E77A0E" w:rsidRDefault="00813E6A" w:rsidP="00813E6A">
      <w:pPr>
        <w:pStyle w:val="Default"/>
        <w:rPr>
          <w:sz w:val="22"/>
          <w:szCs w:val="22"/>
        </w:rPr>
      </w:pPr>
      <w:r w:rsidRPr="00E77A0E">
        <w:rPr>
          <w:b/>
          <w:bCs/>
          <w:sz w:val="22"/>
          <w:szCs w:val="22"/>
        </w:rPr>
        <w:t xml:space="preserve">Case 2 </w:t>
      </w:r>
    </w:p>
    <w:p w:rsidR="00813E6A" w:rsidRPr="00E77A0E" w:rsidRDefault="00813E6A" w:rsidP="00813E6A">
      <w:pPr>
        <w:pStyle w:val="Default"/>
        <w:rPr>
          <w:sz w:val="22"/>
          <w:szCs w:val="22"/>
        </w:rPr>
      </w:pPr>
      <w:r w:rsidRPr="00E77A0E">
        <w:rPr>
          <w:b/>
          <w:bCs/>
          <w:sz w:val="22"/>
          <w:szCs w:val="22"/>
        </w:rPr>
        <w:t xml:space="preserve">Presenter: </w:t>
      </w:r>
      <w:proofErr w:type="spellStart"/>
      <w:r>
        <w:rPr>
          <w:sz w:val="22"/>
          <w:szCs w:val="22"/>
        </w:rPr>
        <w:t>Bogdan</w:t>
      </w:r>
      <w:proofErr w:type="spellEnd"/>
      <w:r>
        <w:rPr>
          <w:sz w:val="22"/>
          <w:szCs w:val="22"/>
        </w:rPr>
        <w:t xml:space="preserve"> </w:t>
      </w:r>
      <w:proofErr w:type="spellStart"/>
      <w:r>
        <w:rPr>
          <w:sz w:val="22"/>
          <w:szCs w:val="22"/>
        </w:rPr>
        <w:t>Isaila</w:t>
      </w:r>
      <w:proofErr w:type="spellEnd"/>
      <w:r>
        <w:rPr>
          <w:sz w:val="22"/>
          <w:szCs w:val="22"/>
        </w:rPr>
        <w:t xml:space="preserve"> MD, PGY III</w:t>
      </w:r>
    </w:p>
    <w:p w:rsidR="00813E6A" w:rsidRPr="00E77A0E" w:rsidRDefault="00813E6A" w:rsidP="00813E6A">
      <w:pPr>
        <w:pStyle w:val="Default"/>
        <w:rPr>
          <w:sz w:val="22"/>
          <w:szCs w:val="22"/>
        </w:rPr>
      </w:pPr>
      <w:r w:rsidRPr="00E77A0E">
        <w:rPr>
          <w:b/>
          <w:bCs/>
          <w:sz w:val="22"/>
          <w:szCs w:val="22"/>
        </w:rPr>
        <w:t xml:space="preserve">Attending: </w:t>
      </w:r>
      <w:r w:rsidRPr="00E77A0E">
        <w:rPr>
          <w:sz w:val="22"/>
          <w:szCs w:val="22"/>
        </w:rPr>
        <w:t xml:space="preserve">Stefan E. </w:t>
      </w:r>
      <w:proofErr w:type="spellStart"/>
      <w:r w:rsidRPr="00E77A0E">
        <w:rPr>
          <w:sz w:val="22"/>
          <w:szCs w:val="22"/>
        </w:rPr>
        <w:t>Pambuccian</w:t>
      </w:r>
      <w:proofErr w:type="spellEnd"/>
      <w:r w:rsidRPr="00E77A0E">
        <w:rPr>
          <w:sz w:val="22"/>
          <w:szCs w:val="22"/>
        </w:rPr>
        <w:t xml:space="preserve"> MD </w:t>
      </w:r>
    </w:p>
    <w:p w:rsidR="00813E6A" w:rsidRPr="00E77A0E" w:rsidRDefault="00813E6A" w:rsidP="00813E6A">
      <w:pPr>
        <w:pStyle w:val="NoSpacing"/>
        <w:jc w:val="both"/>
        <w:rPr>
          <w:rFonts w:ascii="Arial" w:hAnsi="Arial" w:cs="Arial"/>
          <w:b/>
          <w:bCs/>
        </w:rPr>
      </w:pPr>
    </w:p>
    <w:p w:rsidR="00813E6A" w:rsidRDefault="00813E6A" w:rsidP="00813E6A">
      <w:pPr>
        <w:pStyle w:val="NoSpacing"/>
        <w:jc w:val="both"/>
        <w:rPr>
          <w:rFonts w:ascii="Arial" w:hAnsi="Arial" w:cs="Arial"/>
          <w:b/>
          <w:bCs/>
        </w:rPr>
      </w:pPr>
      <w:r w:rsidRPr="00E77A0E">
        <w:rPr>
          <w:rFonts w:ascii="Arial" w:hAnsi="Arial" w:cs="Arial"/>
          <w:b/>
          <w:bCs/>
        </w:rPr>
        <w:t xml:space="preserve">Clinical History: </w:t>
      </w:r>
    </w:p>
    <w:p w:rsidR="00813E6A" w:rsidRPr="00A269EC" w:rsidRDefault="00813E6A" w:rsidP="00813E6A">
      <w:pPr>
        <w:pStyle w:val="NoSpacing"/>
        <w:jc w:val="both"/>
        <w:rPr>
          <w:rFonts w:ascii="Arial" w:eastAsia="Times New Roman" w:hAnsi="Arial" w:cs="Arial"/>
          <w:color w:val="000000"/>
        </w:rPr>
      </w:pPr>
      <w:r>
        <w:rPr>
          <w:rFonts w:ascii="Arial" w:hAnsi="Arial" w:cs="Arial"/>
          <w:bCs/>
        </w:rPr>
        <w:t xml:space="preserve">A 53 year old woman presented with 1 year history of right parotid mass, tender and fluctuating in size. On physical exam it was estimated at about 3cm. Imaging studies showed a 2.7cm hypermetabolic soft tissue mass. Her oncologic history consists of an invasive ductal carcinoma of the breast with mucinous features, grade II, T3N0M0, ER/PR (+), HER2 (-) </w:t>
      </w:r>
    </w:p>
    <w:p w:rsidR="00813E6A" w:rsidRPr="00E77A0E" w:rsidRDefault="00813E6A" w:rsidP="00813E6A">
      <w:pPr>
        <w:pStyle w:val="Default"/>
        <w:rPr>
          <w:sz w:val="22"/>
          <w:szCs w:val="22"/>
        </w:rPr>
      </w:pPr>
    </w:p>
    <w:p w:rsidR="00813E6A" w:rsidRPr="00A269EC" w:rsidRDefault="00813E6A" w:rsidP="00813E6A">
      <w:pPr>
        <w:pStyle w:val="Default"/>
        <w:rPr>
          <w:sz w:val="22"/>
          <w:szCs w:val="22"/>
        </w:rPr>
      </w:pPr>
      <w:r w:rsidRPr="00E77A0E">
        <w:rPr>
          <w:b/>
          <w:bCs/>
          <w:sz w:val="22"/>
          <w:szCs w:val="22"/>
        </w:rPr>
        <w:t xml:space="preserve">Final Diagnosis: </w:t>
      </w:r>
      <w:r>
        <w:rPr>
          <w:bCs/>
          <w:sz w:val="22"/>
          <w:szCs w:val="22"/>
        </w:rPr>
        <w:t>Acinic cell carcinoma with high-grade transformation ("dedifferentiated acinic cell carcinoma")</w:t>
      </w:r>
    </w:p>
    <w:p w:rsidR="00813E6A" w:rsidRDefault="00813E6A" w:rsidP="00813E6A">
      <w:pPr>
        <w:pStyle w:val="Default"/>
        <w:rPr>
          <w:sz w:val="22"/>
          <w:szCs w:val="22"/>
        </w:rPr>
      </w:pPr>
    </w:p>
    <w:p w:rsidR="00813E6A" w:rsidRPr="002402C4" w:rsidRDefault="00813E6A" w:rsidP="00813E6A">
      <w:pPr>
        <w:pStyle w:val="Default"/>
        <w:rPr>
          <w:b/>
          <w:bCs/>
          <w:sz w:val="22"/>
          <w:szCs w:val="22"/>
          <w:u w:val="single"/>
        </w:rPr>
      </w:pPr>
      <w:r w:rsidRPr="002402C4">
        <w:rPr>
          <w:b/>
          <w:bCs/>
          <w:sz w:val="22"/>
          <w:szCs w:val="22"/>
          <w:u w:val="single"/>
        </w:rPr>
        <w:t xml:space="preserve">Differential Diagnosis: </w:t>
      </w:r>
    </w:p>
    <w:p w:rsidR="00813E6A" w:rsidRDefault="00813E6A" w:rsidP="00813E6A">
      <w:pPr>
        <w:pStyle w:val="Default"/>
        <w:rPr>
          <w:b/>
          <w:bCs/>
          <w:sz w:val="22"/>
          <w:szCs w:val="22"/>
        </w:rPr>
      </w:pPr>
      <w:r>
        <w:rPr>
          <w:b/>
          <w:bCs/>
          <w:sz w:val="22"/>
          <w:szCs w:val="22"/>
        </w:rPr>
        <w:t>-Metastasis from the patient's breast carcinoma</w:t>
      </w:r>
    </w:p>
    <w:p w:rsidR="00813E6A" w:rsidRDefault="00813E6A" w:rsidP="00813E6A">
      <w:pPr>
        <w:pStyle w:val="Default"/>
        <w:rPr>
          <w:b/>
          <w:bCs/>
          <w:sz w:val="22"/>
          <w:szCs w:val="22"/>
        </w:rPr>
      </w:pPr>
      <w:r>
        <w:rPr>
          <w:b/>
          <w:bCs/>
          <w:sz w:val="22"/>
          <w:szCs w:val="22"/>
        </w:rPr>
        <w:t>-Mammary analog secretory carcinoma</w:t>
      </w:r>
    </w:p>
    <w:p w:rsidR="00813E6A" w:rsidRDefault="00813E6A" w:rsidP="00813E6A">
      <w:pPr>
        <w:pStyle w:val="Default"/>
        <w:rPr>
          <w:b/>
          <w:bCs/>
          <w:sz w:val="22"/>
          <w:szCs w:val="22"/>
        </w:rPr>
      </w:pPr>
      <w:r>
        <w:rPr>
          <w:b/>
          <w:bCs/>
          <w:sz w:val="22"/>
          <w:szCs w:val="22"/>
        </w:rPr>
        <w:t>-Polymorphous low grade adenocarcinoma</w:t>
      </w:r>
    </w:p>
    <w:p w:rsidR="00813E6A" w:rsidRDefault="00813E6A" w:rsidP="00813E6A">
      <w:pPr>
        <w:pStyle w:val="Default"/>
        <w:rPr>
          <w:b/>
          <w:bCs/>
          <w:sz w:val="22"/>
          <w:szCs w:val="22"/>
        </w:rPr>
      </w:pPr>
      <w:r>
        <w:rPr>
          <w:b/>
          <w:bCs/>
          <w:sz w:val="22"/>
          <w:szCs w:val="22"/>
        </w:rPr>
        <w:t>-Salivary duct carcinoma</w:t>
      </w:r>
    </w:p>
    <w:p w:rsidR="00813E6A" w:rsidRDefault="00813E6A" w:rsidP="00813E6A">
      <w:pPr>
        <w:pStyle w:val="Default"/>
        <w:rPr>
          <w:b/>
          <w:bCs/>
          <w:sz w:val="22"/>
          <w:szCs w:val="22"/>
        </w:rPr>
      </w:pPr>
      <w:r>
        <w:rPr>
          <w:b/>
          <w:bCs/>
          <w:sz w:val="22"/>
          <w:szCs w:val="22"/>
        </w:rPr>
        <w:t>-Adenocarcinoma NOS</w:t>
      </w:r>
    </w:p>
    <w:p w:rsidR="00813E6A" w:rsidRPr="00E77A0E" w:rsidRDefault="00813E6A" w:rsidP="00813E6A">
      <w:pPr>
        <w:pStyle w:val="Default"/>
        <w:rPr>
          <w:sz w:val="22"/>
          <w:szCs w:val="22"/>
        </w:rPr>
      </w:pPr>
      <w:r>
        <w:rPr>
          <w:b/>
          <w:bCs/>
          <w:sz w:val="22"/>
          <w:szCs w:val="22"/>
        </w:rPr>
        <w:t>-Acinic cell carcinoma</w:t>
      </w:r>
    </w:p>
    <w:p w:rsidR="00813E6A" w:rsidRDefault="00813E6A" w:rsidP="00813E6A">
      <w:pPr>
        <w:pStyle w:val="Default"/>
        <w:rPr>
          <w:bCs/>
          <w:sz w:val="22"/>
          <w:szCs w:val="22"/>
          <w:u w:val="single"/>
        </w:rPr>
      </w:pPr>
    </w:p>
    <w:p w:rsidR="00813E6A" w:rsidRPr="009719EF" w:rsidRDefault="00813E6A" w:rsidP="00813E6A">
      <w:pPr>
        <w:pStyle w:val="Default"/>
        <w:rPr>
          <w:sz w:val="22"/>
          <w:szCs w:val="22"/>
          <w:u w:val="single"/>
        </w:rPr>
      </w:pPr>
      <w:r w:rsidRPr="009719EF">
        <w:rPr>
          <w:sz w:val="22"/>
          <w:szCs w:val="22"/>
          <w:u w:val="single"/>
        </w:rPr>
        <w:t xml:space="preserve">Histology: </w:t>
      </w:r>
    </w:p>
    <w:p w:rsidR="00813E6A" w:rsidRDefault="00813E6A" w:rsidP="00813E6A">
      <w:pPr>
        <w:pStyle w:val="Default"/>
        <w:rPr>
          <w:sz w:val="22"/>
          <w:szCs w:val="22"/>
        </w:rPr>
      </w:pPr>
      <w:r>
        <w:rPr>
          <w:sz w:val="22"/>
          <w:szCs w:val="22"/>
        </w:rPr>
        <w:t>Neoplastic cells forming various architectural patterns: cords, ribbons, gland-like structures or solid sheets with areas of comedonecrosis, infiltration in adjacent salivary gland and areas of perineural and lymphovascular invasion. There is prominent cytologic atypia with large pleomorphic nuclei and numerous mitoses. There is no mucin formation.</w:t>
      </w:r>
    </w:p>
    <w:p w:rsidR="00813E6A" w:rsidRPr="00E77A0E" w:rsidRDefault="00813E6A" w:rsidP="00813E6A">
      <w:pPr>
        <w:pStyle w:val="Default"/>
        <w:rPr>
          <w:sz w:val="22"/>
          <w:szCs w:val="22"/>
        </w:rPr>
      </w:pPr>
    </w:p>
    <w:p w:rsidR="00813E6A" w:rsidRDefault="00813E6A" w:rsidP="00813E6A">
      <w:pPr>
        <w:pStyle w:val="Default"/>
        <w:ind w:left="-360"/>
        <w:jc w:val="center"/>
        <w:rPr>
          <w:noProof/>
        </w:rPr>
      </w:pPr>
      <w:r w:rsidRPr="000070F2">
        <w:rPr>
          <w:noProof/>
          <w:sz w:val="22"/>
          <w:szCs w:val="22"/>
        </w:rPr>
        <w:drawing>
          <wp:inline distT="0" distB="0" distL="0" distR="0">
            <wp:extent cx="2735826" cy="2047112"/>
            <wp:effectExtent l="19050" t="0" r="7374"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735826" cy="2047112"/>
                    </a:xfrm>
                    <a:prstGeom prst="rect">
                      <a:avLst/>
                    </a:prstGeom>
                    <a:noFill/>
                    <a:ln w="9525">
                      <a:noFill/>
                      <a:miter lim="800000"/>
                      <a:headEnd/>
                      <a:tailEnd/>
                    </a:ln>
                  </pic:spPr>
                </pic:pic>
              </a:graphicData>
            </a:graphic>
          </wp:inline>
        </w:drawing>
      </w:r>
    </w:p>
    <w:p w:rsidR="00813E6A" w:rsidRDefault="00813E6A" w:rsidP="00813E6A">
      <w:pPr>
        <w:pStyle w:val="Default"/>
        <w:ind w:left="-360"/>
        <w:jc w:val="center"/>
        <w:rPr>
          <w:sz w:val="22"/>
          <w:szCs w:val="22"/>
          <w:u w:val="single"/>
        </w:rPr>
      </w:pPr>
      <w:r>
        <w:rPr>
          <w:noProof/>
        </w:rPr>
        <w:lastRenderedPageBreak/>
        <w:drawing>
          <wp:inline distT="0" distB="0" distL="0" distR="0">
            <wp:extent cx="2340692" cy="1762864"/>
            <wp:effectExtent l="19050" t="0" r="2458"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2340596" cy="1762791"/>
                    </a:xfrm>
                    <a:prstGeom prst="rect">
                      <a:avLst/>
                    </a:prstGeom>
                    <a:noFill/>
                    <a:ln w="9525">
                      <a:noFill/>
                      <a:miter lim="800000"/>
                      <a:headEnd/>
                      <a:tailEnd/>
                    </a:ln>
                  </pic:spPr>
                </pic:pic>
              </a:graphicData>
            </a:graphic>
          </wp:inline>
        </w:drawing>
      </w:r>
      <w:r w:rsidRPr="000070F2">
        <w:rPr>
          <w:noProof/>
        </w:rPr>
        <w:drawing>
          <wp:inline distT="0" distB="0" distL="0" distR="0">
            <wp:extent cx="2331871" cy="1762433"/>
            <wp:effectExtent l="1905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2331871" cy="1762433"/>
                    </a:xfrm>
                    <a:prstGeom prst="rect">
                      <a:avLst/>
                    </a:prstGeom>
                    <a:noFill/>
                    <a:ln w="9525">
                      <a:noFill/>
                      <a:miter lim="800000"/>
                      <a:headEnd/>
                      <a:tailEnd/>
                    </a:ln>
                  </pic:spPr>
                </pic:pic>
              </a:graphicData>
            </a:graphic>
          </wp:inline>
        </w:drawing>
      </w:r>
    </w:p>
    <w:p w:rsidR="00813E6A" w:rsidRDefault="00813E6A" w:rsidP="00813E6A">
      <w:pPr>
        <w:pStyle w:val="Default"/>
        <w:rPr>
          <w:sz w:val="22"/>
          <w:szCs w:val="22"/>
        </w:rPr>
      </w:pPr>
    </w:p>
    <w:p w:rsidR="00CC5771" w:rsidRDefault="00CC5771" w:rsidP="00813E6A">
      <w:pPr>
        <w:pStyle w:val="Default"/>
        <w:rPr>
          <w:sz w:val="22"/>
          <w:szCs w:val="22"/>
        </w:rPr>
      </w:pPr>
    </w:p>
    <w:p w:rsidR="00CC5771" w:rsidRDefault="00CC5771" w:rsidP="00CC5771">
      <w:r w:rsidRPr="00B20890">
        <w:rPr>
          <w:u w:val="single"/>
        </w:rPr>
        <w:t>Positive IHC</w:t>
      </w:r>
      <w:r>
        <w:t xml:space="preserve">                                                                            </w:t>
      </w:r>
      <w:r w:rsidRPr="00B20890">
        <w:rPr>
          <w:u w:val="single"/>
        </w:rPr>
        <w:t>Negative IHC</w:t>
      </w:r>
    </w:p>
    <w:p w:rsidR="00CC5771" w:rsidRDefault="00CC5771" w:rsidP="00CC5771">
      <w:pPr>
        <w:pStyle w:val="Default"/>
        <w:rPr>
          <w:sz w:val="22"/>
          <w:szCs w:val="22"/>
        </w:rPr>
      </w:pPr>
      <w:r>
        <w:rPr>
          <w:sz w:val="22"/>
          <w:szCs w:val="22"/>
        </w:rPr>
        <w:t>Beta-catenin (membranous), diffuse, strong           CK AE1/AE3</w:t>
      </w:r>
    </w:p>
    <w:p w:rsidR="00CC5771" w:rsidRDefault="00CC5771" w:rsidP="00CC5771">
      <w:pPr>
        <w:pStyle w:val="Default"/>
        <w:rPr>
          <w:sz w:val="22"/>
          <w:szCs w:val="22"/>
        </w:rPr>
      </w:pPr>
      <w:r>
        <w:rPr>
          <w:sz w:val="22"/>
          <w:szCs w:val="22"/>
        </w:rPr>
        <w:t xml:space="preserve">CK 8/18  </w:t>
      </w:r>
      <w:r>
        <w:rPr>
          <w:sz w:val="22"/>
          <w:szCs w:val="22"/>
        </w:rPr>
        <w:tab/>
      </w:r>
      <w:r>
        <w:rPr>
          <w:sz w:val="22"/>
          <w:szCs w:val="22"/>
        </w:rPr>
        <w:tab/>
      </w:r>
      <w:r>
        <w:rPr>
          <w:sz w:val="22"/>
          <w:szCs w:val="22"/>
        </w:rPr>
        <w:tab/>
      </w:r>
      <w:r>
        <w:rPr>
          <w:sz w:val="22"/>
          <w:szCs w:val="22"/>
        </w:rPr>
        <w:tab/>
      </w:r>
      <w:r>
        <w:rPr>
          <w:sz w:val="22"/>
          <w:szCs w:val="22"/>
        </w:rPr>
        <w:tab/>
        <w:t xml:space="preserve">          ER</w:t>
      </w:r>
      <w:r>
        <w:rPr>
          <w:sz w:val="22"/>
          <w:szCs w:val="22"/>
        </w:rPr>
        <w:tab/>
      </w:r>
    </w:p>
    <w:p w:rsidR="00CC5771" w:rsidRDefault="00CC5771" w:rsidP="00CC5771">
      <w:pPr>
        <w:pStyle w:val="Default"/>
        <w:rPr>
          <w:sz w:val="22"/>
          <w:szCs w:val="22"/>
        </w:rPr>
      </w:pPr>
      <w:r>
        <w:rPr>
          <w:sz w:val="22"/>
          <w:szCs w:val="22"/>
        </w:rPr>
        <w:t>Cyclin D1, 60%</w:t>
      </w:r>
      <w:r>
        <w:rPr>
          <w:sz w:val="22"/>
          <w:szCs w:val="22"/>
        </w:rPr>
        <w:tab/>
      </w:r>
      <w:r>
        <w:rPr>
          <w:sz w:val="22"/>
          <w:szCs w:val="22"/>
        </w:rPr>
        <w:tab/>
      </w:r>
      <w:r>
        <w:rPr>
          <w:sz w:val="22"/>
          <w:szCs w:val="22"/>
        </w:rPr>
        <w:tab/>
      </w:r>
      <w:r>
        <w:rPr>
          <w:sz w:val="22"/>
          <w:szCs w:val="22"/>
        </w:rPr>
        <w:tab/>
        <w:t xml:space="preserve">          AR</w:t>
      </w:r>
    </w:p>
    <w:p w:rsidR="00CC5771" w:rsidRDefault="00CC5771" w:rsidP="00CC5771">
      <w:pPr>
        <w:pStyle w:val="Default"/>
        <w:rPr>
          <w:sz w:val="22"/>
          <w:szCs w:val="22"/>
        </w:rPr>
      </w:pPr>
      <w:r>
        <w:rPr>
          <w:sz w:val="22"/>
          <w:szCs w:val="22"/>
        </w:rPr>
        <w:t>Ki67 diffuse, 90%</w:t>
      </w:r>
      <w:r>
        <w:rPr>
          <w:sz w:val="22"/>
          <w:szCs w:val="22"/>
        </w:rPr>
        <w:tab/>
      </w:r>
      <w:r>
        <w:rPr>
          <w:sz w:val="22"/>
          <w:szCs w:val="22"/>
        </w:rPr>
        <w:tab/>
      </w:r>
      <w:r>
        <w:rPr>
          <w:sz w:val="22"/>
          <w:szCs w:val="22"/>
        </w:rPr>
        <w:tab/>
      </w:r>
      <w:r>
        <w:rPr>
          <w:sz w:val="22"/>
          <w:szCs w:val="22"/>
        </w:rPr>
        <w:tab/>
        <w:t xml:space="preserve">          S100</w:t>
      </w:r>
      <w:r>
        <w:rPr>
          <w:sz w:val="22"/>
          <w:szCs w:val="22"/>
        </w:rPr>
        <w:tab/>
      </w:r>
    </w:p>
    <w:p w:rsidR="00CC5771" w:rsidRDefault="00CC5771" w:rsidP="00CC5771">
      <w:pPr>
        <w:pStyle w:val="Default"/>
        <w:rPr>
          <w:sz w:val="22"/>
          <w:szCs w:val="22"/>
        </w:rPr>
      </w:pPr>
      <w:r>
        <w:rPr>
          <w:sz w:val="22"/>
          <w:szCs w:val="22"/>
        </w:rPr>
        <w:t>SOX10</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P63</w:t>
      </w:r>
      <w:r>
        <w:rPr>
          <w:sz w:val="22"/>
          <w:szCs w:val="22"/>
        </w:rPr>
        <w:tab/>
      </w:r>
    </w:p>
    <w:p w:rsidR="00CC5771" w:rsidRDefault="00CC5771" w:rsidP="00CC5771">
      <w:pPr>
        <w:pStyle w:val="Default"/>
        <w:rPr>
          <w:sz w:val="22"/>
          <w:szCs w:val="22"/>
        </w:rPr>
      </w:pPr>
      <w:r>
        <w:rPr>
          <w:sz w:val="22"/>
          <w:szCs w:val="22"/>
        </w:rPr>
        <w:t>DOG1</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Mammaglobin</w:t>
      </w:r>
      <w:r>
        <w:rPr>
          <w:sz w:val="22"/>
          <w:szCs w:val="22"/>
        </w:rPr>
        <w:tab/>
      </w:r>
    </w:p>
    <w:p w:rsidR="00CC5771" w:rsidRDefault="00CC5771" w:rsidP="00CC5771">
      <w:pPr>
        <w:pStyle w:val="Default"/>
        <w:rPr>
          <w:sz w:val="22"/>
          <w:szCs w:val="22"/>
        </w:rPr>
      </w:pPr>
      <w:r>
        <w:rPr>
          <w:sz w:val="22"/>
          <w:szCs w:val="22"/>
        </w:rPr>
        <w:t>P53 focal</w:t>
      </w:r>
    </w:p>
    <w:p w:rsidR="00CC5771" w:rsidRDefault="00CC5771" w:rsidP="00CC5771">
      <w:pPr>
        <w:pStyle w:val="Default"/>
        <w:rPr>
          <w:sz w:val="22"/>
          <w:szCs w:val="22"/>
        </w:rPr>
      </w:pPr>
      <w:r>
        <w:rPr>
          <w:sz w:val="22"/>
          <w:szCs w:val="22"/>
        </w:rPr>
        <w:t>GATA-3 weak, focal</w:t>
      </w:r>
    </w:p>
    <w:p w:rsidR="00CC5771" w:rsidRDefault="00CC5771" w:rsidP="00CC5771">
      <w:pPr>
        <w:pStyle w:val="Default"/>
        <w:rPr>
          <w:sz w:val="22"/>
          <w:szCs w:val="22"/>
        </w:rPr>
      </w:pPr>
      <w:r>
        <w:rPr>
          <w:sz w:val="22"/>
          <w:szCs w:val="22"/>
        </w:rPr>
        <w:t>CD117</w:t>
      </w:r>
    </w:p>
    <w:p w:rsidR="00CC5771" w:rsidRDefault="00CC5771" w:rsidP="00CC5771">
      <w:pPr>
        <w:pStyle w:val="Default"/>
        <w:rPr>
          <w:sz w:val="22"/>
          <w:szCs w:val="22"/>
        </w:rPr>
      </w:pPr>
    </w:p>
    <w:p w:rsidR="00CC5771" w:rsidRDefault="00CC5771" w:rsidP="00CC5771">
      <w:pPr>
        <w:pStyle w:val="Default"/>
        <w:rPr>
          <w:sz w:val="22"/>
          <w:szCs w:val="22"/>
        </w:rPr>
      </w:pPr>
    </w:p>
    <w:p w:rsidR="00CC5771" w:rsidRPr="000B6A0B" w:rsidRDefault="00CC5771" w:rsidP="00CC5771">
      <w:pPr>
        <w:pStyle w:val="Default"/>
        <w:rPr>
          <w:b/>
          <w:sz w:val="22"/>
          <w:szCs w:val="22"/>
          <w:u w:val="single"/>
        </w:rPr>
      </w:pPr>
      <w:r w:rsidRPr="000B6A0B">
        <w:rPr>
          <w:b/>
          <w:sz w:val="22"/>
          <w:szCs w:val="22"/>
          <w:u w:val="single"/>
        </w:rPr>
        <w:t>Discussion:</w:t>
      </w:r>
    </w:p>
    <w:p w:rsidR="00CC5771" w:rsidRPr="009719EF" w:rsidRDefault="00CC5771" w:rsidP="00CC5771">
      <w:pPr>
        <w:pStyle w:val="Default"/>
        <w:rPr>
          <w:b/>
          <w:sz w:val="22"/>
          <w:szCs w:val="22"/>
        </w:rPr>
      </w:pPr>
    </w:p>
    <w:p w:rsidR="00CC5771" w:rsidRDefault="00CC5771" w:rsidP="00CC5771">
      <w:pPr>
        <w:pStyle w:val="Default"/>
        <w:rPr>
          <w:sz w:val="22"/>
          <w:szCs w:val="22"/>
        </w:rPr>
      </w:pPr>
      <w:r>
        <w:rPr>
          <w:sz w:val="22"/>
          <w:szCs w:val="22"/>
        </w:rPr>
        <w:t>Our first differential diagnosis consideration based on oncologic history was a metastasis from the patient's breast carcinoma. However histopathological features (absence of mucin, higher grade nuclei) and immunostaining profile (negative ER and equivocal, 2+, HER2) excluded a metastatic breast carcinoma.</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t xml:space="preserve">Mammary analog secretory carcinoma (MASC) can have various architectural patterns (microcystic, solid, tubular) however lymphovascular, perineural invasion are rare, there is usually no necrosis and mitoses are rare. The cells are bland with vesicular nuclei and eosinophilic vacuolated cytoplasm. Mammaglobin, usually positive in MASC was negative in our case.  </w:t>
      </w:r>
      <w:proofErr w:type="gramStart"/>
      <w:r>
        <w:rPr>
          <w:sz w:val="22"/>
          <w:szCs w:val="22"/>
        </w:rPr>
        <w:t>S100(</w:t>
      </w:r>
      <w:proofErr w:type="gramEnd"/>
      <w:r>
        <w:rPr>
          <w:sz w:val="22"/>
          <w:szCs w:val="22"/>
        </w:rPr>
        <w:t>-) and SOX10 (+) were also opposite to the most common staining pattern encountered in MASC.</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t xml:space="preserve">Polymorphous Low Grade Adenocarcinoma (PLGA) shows a triad of infiltrative growth, multiple architectural patterns and cellular uniformity. PLGA is frequently positive for p63 and S100. Our entity has </w:t>
      </w:r>
      <w:proofErr w:type="gramStart"/>
      <w:r>
        <w:rPr>
          <w:sz w:val="22"/>
          <w:szCs w:val="22"/>
        </w:rPr>
        <w:t>a high</w:t>
      </w:r>
      <w:proofErr w:type="gramEnd"/>
      <w:r>
        <w:rPr>
          <w:sz w:val="22"/>
          <w:szCs w:val="22"/>
        </w:rPr>
        <w:t xml:space="preserve"> grade architecture and was negative for p63 and S100.</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t>Salivary duct carcinoma (SDC) was excluded based on the fact that is phenotypically ductal and virtually all cases are characterized by abundant eosinophilic granular cytoplasm and pleomorphic nuclei with prominent nucleoli. AR staining is positive in the majority of cases.</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t>Adenocarcinoma not otherwise specified (NOS) is an exclusion diagnosis comprising high grade salivary gland tumors that cannot be included in any of the known specific salivary gland tumor.</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lastRenderedPageBreak/>
        <w:t>Acinic cell carcinoma (</w:t>
      </w:r>
      <w:proofErr w:type="spellStart"/>
      <w:r>
        <w:rPr>
          <w:sz w:val="22"/>
          <w:szCs w:val="22"/>
        </w:rPr>
        <w:t>AciCC</w:t>
      </w:r>
      <w:proofErr w:type="spellEnd"/>
      <w:r>
        <w:rPr>
          <w:sz w:val="22"/>
          <w:szCs w:val="22"/>
        </w:rPr>
        <w:t>) was included in the differential diagnosis, even though it usually shows large polygonal acinar cells with basophilic granular cytoplasm and intercalated duct type cells (eosinophilic to amphophilic cytoplasm). However, the positive immunostaining for DOG1 and SOX10 of our tumor (similar to what we would expect in acinic cell carcinoma) determined extensive additional sampling of our mass. One of the additional sections showed classical low grade acinic cell carcinoma architecture, with basophilic granular cytoplasm staining for PASD, confirming the diagnosis of an acinic cell carcinoma with high grade transformation.</w:t>
      </w:r>
    </w:p>
    <w:p w:rsidR="00CC5771" w:rsidRDefault="00CC5771" w:rsidP="00CC5771">
      <w:pPr>
        <w:pStyle w:val="Default"/>
        <w:rPr>
          <w:sz w:val="22"/>
          <w:szCs w:val="22"/>
        </w:rPr>
      </w:pPr>
    </w:p>
    <w:p w:rsidR="00CC5771" w:rsidRDefault="00CC5771" w:rsidP="00CC5771">
      <w:pPr>
        <w:pStyle w:val="Default"/>
        <w:rPr>
          <w:sz w:val="22"/>
          <w:szCs w:val="22"/>
        </w:rPr>
      </w:pPr>
      <w:r>
        <w:rPr>
          <w:sz w:val="22"/>
          <w:szCs w:val="22"/>
        </w:rPr>
        <w:t>High grade transformation in acinic cell carcinomas is a rare phenomenon, with no known etiologic factors and no correlation to prior radiation therapy. Tumors tend to be large (&gt;3cm) and metastatic disease can be present at the time of diagnosis. The low grade component can be very limited in extent.</w:t>
      </w:r>
    </w:p>
    <w:p w:rsidR="00CC5771" w:rsidRDefault="00CC5771" w:rsidP="00CC5771">
      <w:pPr>
        <w:pStyle w:val="Default"/>
        <w:rPr>
          <w:sz w:val="22"/>
          <w:szCs w:val="22"/>
        </w:rPr>
      </w:pPr>
    </w:p>
    <w:p w:rsidR="00CC5771" w:rsidRDefault="00CC5771" w:rsidP="00CC5771">
      <w:pPr>
        <w:pStyle w:val="Default"/>
        <w:rPr>
          <w:sz w:val="22"/>
          <w:szCs w:val="22"/>
        </w:rPr>
      </w:pPr>
      <w:r w:rsidRPr="00CC5771">
        <w:rPr>
          <w:noProof/>
          <w:sz w:val="22"/>
          <w:szCs w:val="22"/>
        </w:rPr>
        <w:drawing>
          <wp:inline distT="0" distB="0" distL="0" distR="0">
            <wp:extent cx="2709402" cy="1954139"/>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712656" cy="1956486"/>
                    </a:xfrm>
                    <a:prstGeom prst="rect">
                      <a:avLst/>
                    </a:prstGeom>
                    <a:noFill/>
                  </pic:spPr>
                </pic:pic>
              </a:graphicData>
            </a:graphic>
          </wp:inline>
        </w:drawing>
      </w:r>
    </w:p>
    <w:p w:rsidR="00CC5771" w:rsidRDefault="00CC5771" w:rsidP="00CC5771">
      <w:pPr>
        <w:pStyle w:val="Default"/>
        <w:rPr>
          <w:sz w:val="22"/>
          <w:szCs w:val="22"/>
        </w:rPr>
      </w:pPr>
    </w:p>
    <w:p w:rsidR="00CC5771" w:rsidRDefault="00CC5771" w:rsidP="00CC5771">
      <w:pPr>
        <w:pStyle w:val="Default"/>
        <w:rPr>
          <w:sz w:val="22"/>
          <w:szCs w:val="22"/>
        </w:rPr>
      </w:pPr>
    </w:p>
    <w:p w:rsidR="00CC5771" w:rsidRDefault="00CC5771" w:rsidP="00CC5771">
      <w:pPr>
        <w:pStyle w:val="Default"/>
        <w:rPr>
          <w:sz w:val="22"/>
          <w:szCs w:val="22"/>
        </w:rPr>
      </w:pPr>
      <w:r w:rsidRPr="00CC5771">
        <w:rPr>
          <w:noProof/>
          <w:sz w:val="22"/>
          <w:szCs w:val="22"/>
        </w:rPr>
        <w:drawing>
          <wp:inline distT="0" distB="0" distL="0" distR="0">
            <wp:extent cx="3451122" cy="2124908"/>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b="17849"/>
                    <a:stretch>
                      <a:fillRect/>
                    </a:stretch>
                  </pic:blipFill>
                  <pic:spPr bwMode="auto">
                    <a:xfrm>
                      <a:off x="0" y="0"/>
                      <a:ext cx="3452527" cy="2125773"/>
                    </a:xfrm>
                    <a:prstGeom prst="rect">
                      <a:avLst/>
                    </a:prstGeom>
                    <a:noFill/>
                  </pic:spPr>
                </pic:pic>
              </a:graphicData>
            </a:graphic>
          </wp:inline>
        </w:drawing>
      </w:r>
    </w:p>
    <w:p w:rsidR="006D6E5D" w:rsidRDefault="006D6E5D" w:rsidP="00CC5771">
      <w:pPr>
        <w:pStyle w:val="Default"/>
        <w:rPr>
          <w:sz w:val="22"/>
          <w:szCs w:val="22"/>
        </w:rPr>
      </w:pPr>
    </w:p>
    <w:p w:rsidR="006D6E5D" w:rsidRDefault="006D6E5D" w:rsidP="006D6E5D">
      <w:pPr>
        <w:pStyle w:val="Default"/>
        <w:rPr>
          <w:sz w:val="22"/>
          <w:szCs w:val="22"/>
        </w:rPr>
      </w:pPr>
      <w:r>
        <w:rPr>
          <w:sz w:val="22"/>
          <w:szCs w:val="22"/>
        </w:rPr>
        <w:t xml:space="preserve">Immunohistochemistry is non specific. </w:t>
      </w:r>
      <w:proofErr w:type="spellStart"/>
      <w:r>
        <w:rPr>
          <w:sz w:val="22"/>
          <w:szCs w:val="22"/>
        </w:rPr>
        <w:t>Cytokeratins</w:t>
      </w:r>
      <w:proofErr w:type="spellEnd"/>
      <w:r>
        <w:rPr>
          <w:sz w:val="22"/>
          <w:szCs w:val="22"/>
        </w:rPr>
        <w:t xml:space="preserve"> are constantly positive; anti-amylase is negative in neoplastic cells and PASD, the only specific stain for acinic cell carcinomas, is negative in the areas of high grade transformation. </w:t>
      </w:r>
    </w:p>
    <w:p w:rsidR="006D6E5D" w:rsidRDefault="006D6E5D" w:rsidP="00CC5771">
      <w:pPr>
        <w:pStyle w:val="Default"/>
        <w:rPr>
          <w:sz w:val="22"/>
          <w:szCs w:val="22"/>
        </w:rPr>
      </w:pPr>
    </w:p>
    <w:p w:rsidR="006D6E5D" w:rsidRDefault="006D6E5D" w:rsidP="006D6E5D">
      <w:pPr>
        <w:pStyle w:val="Default"/>
        <w:rPr>
          <w:sz w:val="22"/>
          <w:szCs w:val="22"/>
        </w:rPr>
      </w:pPr>
      <w:r>
        <w:rPr>
          <w:sz w:val="22"/>
          <w:szCs w:val="22"/>
        </w:rPr>
        <w:t xml:space="preserve">Novel markers are reinforcing the patterns of differentiation in </w:t>
      </w:r>
      <w:proofErr w:type="spellStart"/>
      <w:r>
        <w:rPr>
          <w:sz w:val="22"/>
          <w:szCs w:val="22"/>
        </w:rPr>
        <w:t>AciCC</w:t>
      </w:r>
      <w:proofErr w:type="spellEnd"/>
      <w:r>
        <w:rPr>
          <w:sz w:val="22"/>
          <w:szCs w:val="22"/>
        </w:rPr>
        <w:t>. D</w:t>
      </w:r>
      <w:r w:rsidRPr="005528CF">
        <w:rPr>
          <w:sz w:val="22"/>
          <w:szCs w:val="22"/>
        </w:rPr>
        <w:t>iscovered on gastrointestinal stromal tumor protein 1 (DOG1), also known as anoctamin-1/ANO1</w:t>
      </w:r>
      <w:proofErr w:type="gramStart"/>
      <w:r>
        <w:rPr>
          <w:sz w:val="22"/>
          <w:szCs w:val="22"/>
        </w:rPr>
        <w:t>,is</w:t>
      </w:r>
      <w:proofErr w:type="gramEnd"/>
      <w:r>
        <w:rPr>
          <w:sz w:val="22"/>
          <w:szCs w:val="22"/>
        </w:rPr>
        <w:t xml:space="preserve"> a chloride channel selectively expressed in the luminal plasmalemma of the acinar cells and intercalated ductal cells. It shows an admixture of apical membranous, cytoplasmic or partially membranous staining in normal acinar cells and acinic cell carcinoma.</w:t>
      </w:r>
    </w:p>
    <w:p w:rsidR="006D6E5D" w:rsidRDefault="006D6E5D" w:rsidP="00CC5771">
      <w:pPr>
        <w:pStyle w:val="Default"/>
        <w:rPr>
          <w:sz w:val="22"/>
          <w:szCs w:val="22"/>
        </w:rPr>
      </w:pPr>
    </w:p>
    <w:p w:rsidR="00CC5771" w:rsidRDefault="00CC5771" w:rsidP="00CC5771">
      <w:pPr>
        <w:pStyle w:val="Default"/>
        <w:rPr>
          <w:sz w:val="22"/>
          <w:szCs w:val="22"/>
        </w:rPr>
      </w:pPr>
    </w:p>
    <w:p w:rsidR="00CC5771" w:rsidRPr="002402C4" w:rsidRDefault="00CC5771" w:rsidP="00813E6A">
      <w:pPr>
        <w:pStyle w:val="Default"/>
        <w:rPr>
          <w:sz w:val="22"/>
          <w:szCs w:val="22"/>
        </w:rPr>
        <w:sectPr w:rsidR="00CC5771" w:rsidRPr="002402C4" w:rsidSect="00D278B3">
          <w:pgSz w:w="12240" w:h="16340"/>
          <w:pgMar w:top="1877" w:right="913" w:bottom="1419" w:left="1205" w:header="720" w:footer="720" w:gutter="0"/>
          <w:cols w:space="720"/>
          <w:noEndnote/>
        </w:sectPr>
      </w:pPr>
    </w:p>
    <w:p w:rsidR="00813E6A" w:rsidRDefault="00813E6A" w:rsidP="00813E6A">
      <w:pPr>
        <w:pStyle w:val="Default"/>
        <w:rPr>
          <w:sz w:val="22"/>
          <w:szCs w:val="22"/>
          <w:u w:val="single"/>
        </w:rPr>
        <w:sectPr w:rsidR="00813E6A" w:rsidSect="005159AE">
          <w:type w:val="continuous"/>
          <w:pgSz w:w="12240" w:h="16340"/>
          <w:pgMar w:top="1877" w:right="913" w:bottom="1419" w:left="1205" w:header="720" w:footer="720" w:gutter="0"/>
          <w:cols w:num="2" w:space="720"/>
          <w:noEndnote/>
        </w:sectPr>
      </w:pPr>
    </w:p>
    <w:p w:rsidR="00813E6A" w:rsidRDefault="00813E6A" w:rsidP="00813E6A">
      <w:pPr>
        <w:pStyle w:val="Default"/>
        <w:rPr>
          <w:sz w:val="22"/>
          <w:szCs w:val="22"/>
        </w:rPr>
      </w:pPr>
    </w:p>
    <w:p w:rsidR="00813E6A" w:rsidRDefault="00813E6A" w:rsidP="00813E6A">
      <w:pPr>
        <w:pStyle w:val="Default"/>
        <w:rPr>
          <w:sz w:val="22"/>
          <w:szCs w:val="22"/>
        </w:rPr>
      </w:pPr>
    </w:p>
    <w:p w:rsidR="00813E6A" w:rsidRDefault="00813E6A" w:rsidP="00813E6A">
      <w:pPr>
        <w:pStyle w:val="Default"/>
        <w:rPr>
          <w:sz w:val="22"/>
          <w:szCs w:val="22"/>
        </w:rPr>
      </w:pPr>
      <w:r>
        <w:rPr>
          <w:sz w:val="22"/>
          <w:szCs w:val="22"/>
        </w:rPr>
        <w:t xml:space="preserve"> SOX10 is a nuclear transcription factor critical for formation and differentiation of neural crest cells, variably expressed in the acinar and intercalated ductal cells.</w:t>
      </w:r>
    </w:p>
    <w:p w:rsidR="00813E6A" w:rsidRDefault="00813E6A" w:rsidP="00813E6A">
      <w:pPr>
        <w:pStyle w:val="Default"/>
        <w:rPr>
          <w:sz w:val="22"/>
          <w:szCs w:val="22"/>
        </w:rPr>
      </w:pPr>
    </w:p>
    <w:p w:rsidR="00813E6A" w:rsidRPr="005528CF" w:rsidRDefault="00813E6A" w:rsidP="00813E6A">
      <w:pPr>
        <w:pStyle w:val="Default"/>
      </w:pPr>
      <w:r w:rsidRPr="005528CF">
        <w:t>Tumors with fre</w:t>
      </w:r>
      <w:r>
        <w:t>quent and high SOX10 expression:</w:t>
      </w:r>
    </w:p>
    <w:p w:rsidR="00813E6A" w:rsidRPr="005528CF" w:rsidRDefault="00813E6A" w:rsidP="00813E6A">
      <w:pPr>
        <w:pStyle w:val="Default"/>
        <w:numPr>
          <w:ilvl w:val="0"/>
          <w:numId w:val="8"/>
        </w:numPr>
      </w:pPr>
      <w:r w:rsidRPr="005528CF">
        <w:t xml:space="preserve">Acinic cell carcinoma </w:t>
      </w:r>
    </w:p>
    <w:p w:rsidR="00813E6A" w:rsidRPr="005528CF" w:rsidRDefault="00813E6A" w:rsidP="00813E6A">
      <w:pPr>
        <w:pStyle w:val="Default"/>
        <w:numPr>
          <w:ilvl w:val="0"/>
          <w:numId w:val="8"/>
        </w:numPr>
      </w:pPr>
      <w:r w:rsidRPr="005528CF">
        <w:t xml:space="preserve">Adenoid cystic carcinoma </w:t>
      </w:r>
    </w:p>
    <w:p w:rsidR="00813E6A" w:rsidRDefault="00813E6A" w:rsidP="00813E6A">
      <w:pPr>
        <w:pStyle w:val="Default"/>
        <w:numPr>
          <w:ilvl w:val="0"/>
          <w:numId w:val="8"/>
        </w:numPr>
      </w:pPr>
      <w:r w:rsidRPr="005528CF">
        <w:t>Epithelial-myoepithelial carcinoma, myoepithelial carcinoma, and pleomorphic adenoma</w:t>
      </w:r>
    </w:p>
    <w:p w:rsidR="00813E6A" w:rsidRDefault="00813E6A" w:rsidP="00813E6A">
      <w:pPr>
        <w:pStyle w:val="Default"/>
      </w:pPr>
    </w:p>
    <w:p w:rsidR="00813E6A" w:rsidRDefault="00813E6A" w:rsidP="00813E6A">
      <w:pPr>
        <w:pStyle w:val="Default"/>
      </w:pPr>
      <w:r w:rsidRPr="000B6A0B">
        <w:t>Tumors with no SOX10 expression</w:t>
      </w:r>
      <w:r>
        <w:t>:</w:t>
      </w:r>
    </w:p>
    <w:p w:rsidR="00813E6A" w:rsidRPr="005528CF" w:rsidRDefault="00813E6A" w:rsidP="00813E6A">
      <w:pPr>
        <w:pStyle w:val="Default"/>
        <w:numPr>
          <w:ilvl w:val="0"/>
          <w:numId w:val="8"/>
        </w:numPr>
      </w:pPr>
      <w:r w:rsidRPr="005528CF">
        <w:t>Salivary duct carcinoma</w:t>
      </w:r>
    </w:p>
    <w:p w:rsidR="00813E6A" w:rsidRPr="005528CF" w:rsidRDefault="00813E6A" w:rsidP="00813E6A">
      <w:pPr>
        <w:pStyle w:val="Default"/>
        <w:numPr>
          <w:ilvl w:val="0"/>
          <w:numId w:val="8"/>
        </w:numPr>
      </w:pPr>
      <w:r w:rsidRPr="005528CF">
        <w:t>Mucoepidermoid carcinoma</w:t>
      </w:r>
    </w:p>
    <w:p w:rsidR="00813E6A" w:rsidRPr="005528CF" w:rsidRDefault="00813E6A" w:rsidP="00813E6A">
      <w:pPr>
        <w:pStyle w:val="Default"/>
        <w:numPr>
          <w:ilvl w:val="0"/>
          <w:numId w:val="8"/>
        </w:numPr>
      </w:pPr>
      <w:r w:rsidRPr="005528CF">
        <w:t>Squamous cell carcinoma</w:t>
      </w:r>
    </w:p>
    <w:p w:rsidR="00813E6A" w:rsidRPr="005528CF" w:rsidRDefault="00813E6A" w:rsidP="00813E6A">
      <w:pPr>
        <w:pStyle w:val="Default"/>
        <w:numPr>
          <w:ilvl w:val="0"/>
          <w:numId w:val="8"/>
        </w:numPr>
      </w:pPr>
      <w:r w:rsidRPr="005528CF">
        <w:t xml:space="preserve">Oncocytic carcinoma, oncocytoma, and Warthin tumor </w:t>
      </w:r>
    </w:p>
    <w:p w:rsidR="00813E6A" w:rsidRPr="005528CF" w:rsidRDefault="00813E6A" w:rsidP="00813E6A">
      <w:pPr>
        <w:pStyle w:val="Default"/>
      </w:pPr>
    </w:p>
    <w:p w:rsidR="00813E6A" w:rsidRPr="00764530" w:rsidRDefault="00813E6A" w:rsidP="00813E6A">
      <w:pPr>
        <w:pStyle w:val="Default"/>
        <w:rPr>
          <w:sz w:val="22"/>
          <w:szCs w:val="22"/>
        </w:rPr>
      </w:pPr>
      <w:r w:rsidRPr="005508F6">
        <w:rPr>
          <w:sz w:val="22"/>
          <w:szCs w:val="22"/>
        </w:rPr>
        <w:t xml:space="preserve">For </w:t>
      </w:r>
      <w:proofErr w:type="spellStart"/>
      <w:r w:rsidRPr="005508F6">
        <w:rPr>
          <w:sz w:val="22"/>
          <w:szCs w:val="22"/>
        </w:rPr>
        <w:t>AciCC</w:t>
      </w:r>
      <w:proofErr w:type="spellEnd"/>
      <w:r w:rsidRPr="005508F6">
        <w:rPr>
          <w:sz w:val="22"/>
          <w:szCs w:val="22"/>
        </w:rPr>
        <w:t xml:space="preserve"> showing features of HGT, the treatment proposed is</w:t>
      </w:r>
      <w:r>
        <w:rPr>
          <w:sz w:val="22"/>
          <w:szCs w:val="22"/>
        </w:rPr>
        <w:t xml:space="preserve"> surgical resection followed by </w:t>
      </w:r>
      <w:r w:rsidRPr="005508F6">
        <w:rPr>
          <w:sz w:val="22"/>
          <w:szCs w:val="22"/>
        </w:rPr>
        <w:t>radiotherapy</w:t>
      </w:r>
      <w:r>
        <w:rPr>
          <w:sz w:val="22"/>
          <w:szCs w:val="22"/>
        </w:rPr>
        <w:t>.</w:t>
      </w:r>
    </w:p>
    <w:p w:rsidR="00813E6A" w:rsidRDefault="00813E6A" w:rsidP="00813E6A">
      <w:pPr>
        <w:pStyle w:val="Default"/>
        <w:rPr>
          <w:sz w:val="22"/>
          <w:szCs w:val="22"/>
          <w:u w:val="single"/>
        </w:rPr>
      </w:pPr>
    </w:p>
    <w:p w:rsidR="00813E6A" w:rsidRDefault="00813E6A" w:rsidP="00813E6A">
      <w:pPr>
        <w:pStyle w:val="Default"/>
        <w:rPr>
          <w:sz w:val="22"/>
          <w:szCs w:val="22"/>
          <w:u w:val="single"/>
        </w:rPr>
      </w:pPr>
      <w:r w:rsidRPr="00E77A0E">
        <w:rPr>
          <w:sz w:val="22"/>
          <w:szCs w:val="22"/>
          <w:u w:val="single"/>
        </w:rPr>
        <w:t xml:space="preserve">Take home messages: </w:t>
      </w:r>
    </w:p>
    <w:p w:rsidR="00813E6A" w:rsidRDefault="00813E6A" w:rsidP="00813E6A">
      <w:pPr>
        <w:pStyle w:val="Default"/>
        <w:rPr>
          <w:sz w:val="22"/>
          <w:szCs w:val="22"/>
          <w:u w:val="single"/>
        </w:rPr>
      </w:pPr>
    </w:p>
    <w:p w:rsidR="00813E6A" w:rsidRPr="005508F6" w:rsidRDefault="00813E6A" w:rsidP="00813E6A">
      <w:pPr>
        <w:pStyle w:val="Default"/>
        <w:numPr>
          <w:ilvl w:val="0"/>
          <w:numId w:val="7"/>
        </w:numPr>
        <w:rPr>
          <w:sz w:val="22"/>
          <w:szCs w:val="22"/>
        </w:rPr>
      </w:pPr>
      <w:r w:rsidRPr="005508F6">
        <w:rPr>
          <w:sz w:val="22"/>
          <w:szCs w:val="22"/>
        </w:rPr>
        <w:t>High grade transformation may occur in other salivary gland neoplasms (pleomorphic adenoma, mucoepidermoid carcinoma, polymorphous low grade adenocarcinoma, epithelial-myoepithelial carcinoma)</w:t>
      </w:r>
    </w:p>
    <w:p w:rsidR="00813E6A" w:rsidRPr="005508F6" w:rsidRDefault="00813E6A" w:rsidP="00813E6A">
      <w:pPr>
        <w:pStyle w:val="Default"/>
        <w:numPr>
          <w:ilvl w:val="0"/>
          <w:numId w:val="7"/>
        </w:numPr>
        <w:rPr>
          <w:sz w:val="22"/>
          <w:szCs w:val="22"/>
        </w:rPr>
      </w:pPr>
      <w:r w:rsidRPr="005508F6">
        <w:rPr>
          <w:sz w:val="22"/>
          <w:szCs w:val="22"/>
        </w:rPr>
        <w:t>The low grade component may be very limited in extent</w:t>
      </w:r>
    </w:p>
    <w:p w:rsidR="00813E6A" w:rsidRPr="005508F6" w:rsidRDefault="00813E6A" w:rsidP="00813E6A">
      <w:pPr>
        <w:pStyle w:val="Default"/>
        <w:numPr>
          <w:ilvl w:val="0"/>
          <w:numId w:val="7"/>
        </w:numPr>
        <w:rPr>
          <w:sz w:val="22"/>
          <w:szCs w:val="22"/>
        </w:rPr>
      </w:pPr>
      <w:r w:rsidRPr="005508F6">
        <w:rPr>
          <w:sz w:val="22"/>
          <w:szCs w:val="22"/>
        </w:rPr>
        <w:t xml:space="preserve">DOG1 and SOX10 are novel markers that reinforce the patterns of differentiation in </w:t>
      </w:r>
      <w:proofErr w:type="spellStart"/>
      <w:r w:rsidRPr="005508F6">
        <w:rPr>
          <w:sz w:val="22"/>
          <w:szCs w:val="22"/>
        </w:rPr>
        <w:t>AciCC</w:t>
      </w:r>
      <w:proofErr w:type="spellEnd"/>
      <w:r w:rsidRPr="005508F6">
        <w:rPr>
          <w:sz w:val="22"/>
          <w:szCs w:val="22"/>
        </w:rPr>
        <w:t xml:space="preserve"> </w:t>
      </w:r>
    </w:p>
    <w:p w:rsidR="00813E6A" w:rsidRPr="005508F6" w:rsidRDefault="00813E6A" w:rsidP="00813E6A">
      <w:pPr>
        <w:pStyle w:val="Default"/>
        <w:numPr>
          <w:ilvl w:val="0"/>
          <w:numId w:val="7"/>
        </w:numPr>
        <w:rPr>
          <w:sz w:val="22"/>
          <w:szCs w:val="22"/>
        </w:rPr>
      </w:pPr>
      <w:r w:rsidRPr="005508F6">
        <w:rPr>
          <w:sz w:val="22"/>
          <w:szCs w:val="22"/>
        </w:rPr>
        <w:t>Recognition is imperative as more aggressive clinical management is warranted</w:t>
      </w:r>
    </w:p>
    <w:p w:rsidR="00813E6A" w:rsidRPr="002402C4" w:rsidRDefault="00813E6A" w:rsidP="00813E6A">
      <w:pPr>
        <w:pStyle w:val="Default"/>
        <w:rPr>
          <w:sz w:val="22"/>
          <w:szCs w:val="22"/>
        </w:rPr>
      </w:pPr>
    </w:p>
    <w:p w:rsidR="00813E6A" w:rsidRDefault="00813E6A" w:rsidP="00813E6A">
      <w:pPr>
        <w:pStyle w:val="Default"/>
        <w:rPr>
          <w:sz w:val="22"/>
          <w:szCs w:val="22"/>
          <w:u w:val="single"/>
        </w:rPr>
      </w:pPr>
    </w:p>
    <w:p w:rsidR="00813E6A" w:rsidRDefault="00813E6A" w:rsidP="00813E6A">
      <w:pPr>
        <w:pStyle w:val="Default"/>
        <w:spacing w:after="7"/>
      </w:pPr>
      <w:r>
        <w:t>QUIZ:</w:t>
      </w:r>
    </w:p>
    <w:p w:rsidR="00813E6A" w:rsidRDefault="00813E6A" w:rsidP="00813E6A">
      <w:pPr>
        <w:pStyle w:val="Default"/>
        <w:spacing w:after="7"/>
      </w:pPr>
    </w:p>
    <w:p w:rsidR="00813E6A" w:rsidRDefault="00813E6A" w:rsidP="00813E6A">
      <w:pPr>
        <w:pStyle w:val="Default"/>
        <w:spacing w:after="7"/>
      </w:pPr>
      <w:r w:rsidRPr="00FF14F5">
        <w:t>The following statements are true about dedifferentiation in acinic cell carcinomas, except:</w:t>
      </w:r>
    </w:p>
    <w:p w:rsidR="00813E6A" w:rsidRPr="00FF14F5" w:rsidRDefault="00813E6A" w:rsidP="00813E6A">
      <w:pPr>
        <w:pStyle w:val="Default"/>
        <w:spacing w:after="7"/>
      </w:pPr>
    </w:p>
    <w:p w:rsidR="00813E6A" w:rsidRPr="00FF14F5" w:rsidRDefault="00813E6A" w:rsidP="00813E6A">
      <w:pPr>
        <w:pStyle w:val="Default"/>
        <w:spacing w:after="7"/>
      </w:pPr>
      <w:r w:rsidRPr="00FF14F5">
        <w:t>A. There are no known etiologic factors</w:t>
      </w:r>
    </w:p>
    <w:p w:rsidR="00813E6A" w:rsidRPr="00FF14F5" w:rsidRDefault="00813E6A" w:rsidP="00813E6A">
      <w:pPr>
        <w:pStyle w:val="Default"/>
        <w:spacing w:after="7"/>
      </w:pPr>
      <w:r w:rsidRPr="00FF14F5">
        <w:t xml:space="preserve">B. There </w:t>
      </w:r>
      <w:proofErr w:type="gramStart"/>
      <w:r w:rsidRPr="00FF14F5">
        <w:t>is  no</w:t>
      </w:r>
      <w:proofErr w:type="gramEnd"/>
      <w:r w:rsidRPr="00FF14F5">
        <w:t xml:space="preserve">  gender predilection</w:t>
      </w:r>
    </w:p>
    <w:p w:rsidR="00813E6A" w:rsidRPr="00FF14F5" w:rsidRDefault="00813E6A" w:rsidP="00813E6A">
      <w:pPr>
        <w:pStyle w:val="Default"/>
        <w:spacing w:after="7"/>
      </w:pPr>
      <w:r w:rsidRPr="00FF14F5">
        <w:t xml:space="preserve">C. Prior radiation therapy increases the incidence </w:t>
      </w:r>
    </w:p>
    <w:p w:rsidR="00813E6A" w:rsidRPr="00FF14F5" w:rsidRDefault="00813E6A" w:rsidP="00813E6A">
      <w:pPr>
        <w:pStyle w:val="Default"/>
        <w:spacing w:after="7"/>
      </w:pPr>
      <w:r w:rsidRPr="00FF14F5">
        <w:t>D. Most are already metastatic by the time of diagnosis</w:t>
      </w:r>
    </w:p>
    <w:p w:rsidR="00813E6A" w:rsidRDefault="00813E6A" w:rsidP="00813E6A">
      <w:pPr>
        <w:pStyle w:val="Default"/>
        <w:spacing w:after="7"/>
      </w:pPr>
      <w:r w:rsidRPr="00FF14F5">
        <w:t>E. Tumors tend to be larger than 3cm</w:t>
      </w:r>
    </w:p>
    <w:p w:rsidR="00813E6A" w:rsidRDefault="00813E6A" w:rsidP="00813E6A">
      <w:pPr>
        <w:pStyle w:val="Default"/>
        <w:spacing w:after="7"/>
      </w:pPr>
    </w:p>
    <w:p w:rsidR="00813E6A" w:rsidRDefault="00813E6A" w:rsidP="00813E6A">
      <w:pPr>
        <w:pStyle w:val="Default"/>
        <w:spacing w:after="7"/>
      </w:pPr>
      <w:r w:rsidRPr="00FF14F5">
        <w:t xml:space="preserve">The immunoprofile of a parotid tumor is </w:t>
      </w:r>
      <w:proofErr w:type="gramStart"/>
      <w:r w:rsidRPr="00FF14F5">
        <w:t>p63(</w:t>
      </w:r>
      <w:proofErr w:type="gramEnd"/>
      <w:r w:rsidRPr="00FF14F5">
        <w:t xml:space="preserve">-),S100 (+), ER (-), SOX10(+), </w:t>
      </w:r>
      <w:r>
        <w:t>Mammaglobin(+).</w:t>
      </w:r>
      <w:r w:rsidRPr="00FF14F5">
        <w:t xml:space="preserve"> </w:t>
      </w:r>
    </w:p>
    <w:p w:rsidR="00813E6A" w:rsidRDefault="00813E6A" w:rsidP="00813E6A">
      <w:pPr>
        <w:pStyle w:val="Default"/>
        <w:spacing w:after="7"/>
      </w:pPr>
      <w:r w:rsidRPr="00FF14F5">
        <w:t>This profile most probably matches:</w:t>
      </w:r>
    </w:p>
    <w:p w:rsidR="00813E6A" w:rsidRPr="00FF14F5" w:rsidRDefault="00813E6A" w:rsidP="00813E6A">
      <w:pPr>
        <w:pStyle w:val="Default"/>
        <w:spacing w:after="7"/>
      </w:pPr>
    </w:p>
    <w:p w:rsidR="00813E6A" w:rsidRPr="00FF14F5" w:rsidRDefault="00813E6A" w:rsidP="00813E6A">
      <w:pPr>
        <w:pStyle w:val="Default"/>
        <w:numPr>
          <w:ilvl w:val="0"/>
          <w:numId w:val="9"/>
        </w:numPr>
        <w:tabs>
          <w:tab w:val="clear" w:pos="720"/>
          <w:tab w:val="num" w:pos="360"/>
        </w:tabs>
        <w:spacing w:after="7"/>
        <w:ind w:left="360"/>
      </w:pPr>
      <w:r w:rsidRPr="00FF14F5">
        <w:t>A metastatic carcinoma from the breast</w:t>
      </w:r>
    </w:p>
    <w:p w:rsidR="00813E6A" w:rsidRPr="00FF14F5" w:rsidRDefault="00813E6A" w:rsidP="00813E6A">
      <w:pPr>
        <w:pStyle w:val="Default"/>
        <w:numPr>
          <w:ilvl w:val="0"/>
          <w:numId w:val="9"/>
        </w:numPr>
        <w:tabs>
          <w:tab w:val="clear" w:pos="720"/>
          <w:tab w:val="num" w:pos="360"/>
        </w:tabs>
        <w:spacing w:after="7"/>
        <w:ind w:left="360"/>
      </w:pPr>
      <w:r w:rsidRPr="00FF14F5">
        <w:t>An acinic cell carcinoma</w:t>
      </w:r>
    </w:p>
    <w:p w:rsidR="00813E6A" w:rsidRPr="00FF14F5" w:rsidRDefault="00813E6A" w:rsidP="00813E6A">
      <w:pPr>
        <w:pStyle w:val="Default"/>
        <w:numPr>
          <w:ilvl w:val="0"/>
          <w:numId w:val="9"/>
        </w:numPr>
        <w:tabs>
          <w:tab w:val="clear" w:pos="720"/>
          <w:tab w:val="num" w:pos="360"/>
        </w:tabs>
        <w:spacing w:after="7"/>
        <w:ind w:left="360"/>
      </w:pPr>
      <w:r w:rsidRPr="00FF14F5">
        <w:lastRenderedPageBreak/>
        <w:t>An acinic cell carcinoma with high grade transformation</w:t>
      </w:r>
    </w:p>
    <w:p w:rsidR="00813E6A" w:rsidRPr="00FF14F5" w:rsidRDefault="00813E6A" w:rsidP="00813E6A">
      <w:pPr>
        <w:pStyle w:val="Default"/>
        <w:numPr>
          <w:ilvl w:val="0"/>
          <w:numId w:val="9"/>
        </w:numPr>
        <w:tabs>
          <w:tab w:val="clear" w:pos="720"/>
          <w:tab w:val="num" w:pos="360"/>
        </w:tabs>
        <w:spacing w:after="7"/>
        <w:ind w:left="360"/>
      </w:pPr>
      <w:r w:rsidRPr="00FF14F5">
        <w:t>A mammary analog  secretory carcinoma</w:t>
      </w:r>
    </w:p>
    <w:p w:rsidR="00813E6A" w:rsidRPr="00FF14F5" w:rsidRDefault="00813E6A" w:rsidP="00813E6A">
      <w:pPr>
        <w:pStyle w:val="Default"/>
        <w:numPr>
          <w:ilvl w:val="0"/>
          <w:numId w:val="9"/>
        </w:numPr>
        <w:tabs>
          <w:tab w:val="clear" w:pos="720"/>
          <w:tab w:val="num" w:pos="360"/>
        </w:tabs>
        <w:spacing w:after="7"/>
        <w:ind w:left="360"/>
      </w:pPr>
      <w:r w:rsidRPr="00FF14F5">
        <w:t>A salivary duct carcinoma</w:t>
      </w:r>
    </w:p>
    <w:p w:rsidR="00813E6A" w:rsidRDefault="00813E6A" w:rsidP="00813E6A">
      <w:pPr>
        <w:pStyle w:val="Default"/>
        <w:rPr>
          <w:sz w:val="22"/>
          <w:szCs w:val="22"/>
          <w:u w:val="single"/>
        </w:rPr>
      </w:pPr>
    </w:p>
    <w:p w:rsidR="00813E6A" w:rsidRPr="00E77A0E" w:rsidRDefault="00813E6A" w:rsidP="00813E6A">
      <w:pPr>
        <w:pStyle w:val="Default"/>
        <w:rPr>
          <w:sz w:val="22"/>
          <w:szCs w:val="22"/>
          <w:u w:val="single"/>
        </w:rPr>
      </w:pPr>
    </w:p>
    <w:p w:rsidR="00813E6A" w:rsidRDefault="00813E6A" w:rsidP="00813E6A">
      <w:pPr>
        <w:pStyle w:val="Default"/>
        <w:spacing w:after="7"/>
        <w:rPr>
          <w:b/>
          <w:sz w:val="22"/>
          <w:szCs w:val="22"/>
        </w:rPr>
      </w:pPr>
      <w:r w:rsidRPr="002461E2">
        <w:rPr>
          <w:b/>
          <w:sz w:val="22"/>
          <w:szCs w:val="22"/>
        </w:rPr>
        <w:t>References</w:t>
      </w:r>
      <w:r>
        <w:rPr>
          <w:b/>
          <w:sz w:val="22"/>
          <w:szCs w:val="22"/>
        </w:rPr>
        <w:t>:</w:t>
      </w:r>
    </w:p>
    <w:p w:rsidR="00813E6A" w:rsidRDefault="00813E6A" w:rsidP="00813E6A">
      <w:pPr>
        <w:pStyle w:val="Default"/>
        <w:spacing w:after="7"/>
        <w:rPr>
          <w:b/>
          <w:sz w:val="22"/>
          <w:szCs w:val="22"/>
        </w:rPr>
      </w:pPr>
    </w:p>
    <w:p w:rsidR="00813E6A" w:rsidRPr="000B6A0B" w:rsidRDefault="00813E6A" w:rsidP="00813E6A">
      <w:pPr>
        <w:pStyle w:val="Default"/>
        <w:spacing w:after="7"/>
      </w:pPr>
      <w:r w:rsidRPr="000B6A0B">
        <w:t xml:space="preserve">Thompson LD, </w:t>
      </w:r>
      <w:proofErr w:type="spellStart"/>
      <w:r w:rsidRPr="000B6A0B">
        <w:t>Aslam</w:t>
      </w:r>
      <w:proofErr w:type="spellEnd"/>
      <w:r w:rsidRPr="000B6A0B">
        <w:t xml:space="preserve"> MN, Stall JN, </w:t>
      </w:r>
      <w:proofErr w:type="spellStart"/>
      <w:r w:rsidRPr="000B6A0B">
        <w:t>Udager</w:t>
      </w:r>
      <w:proofErr w:type="spellEnd"/>
      <w:r w:rsidRPr="000B6A0B">
        <w:t xml:space="preserve"> AM, </w:t>
      </w:r>
      <w:proofErr w:type="spellStart"/>
      <w:r w:rsidRPr="000B6A0B">
        <w:t>Chiosea</w:t>
      </w:r>
      <w:proofErr w:type="spellEnd"/>
      <w:r w:rsidRPr="000B6A0B">
        <w:t xml:space="preserve"> S, McHugh JB. </w:t>
      </w:r>
      <w:proofErr w:type="gramStart"/>
      <w:r w:rsidRPr="000B6A0B">
        <w:t>Clinicopathologic and Immunophenotypic Characterization of 25 Cases of Acinic Cell Carcinoma with High-Grade Transformation.</w:t>
      </w:r>
      <w:proofErr w:type="gramEnd"/>
      <w:r w:rsidRPr="000B6A0B">
        <w:t xml:space="preserve"> Head Neck </w:t>
      </w:r>
      <w:proofErr w:type="spellStart"/>
      <w:r w:rsidRPr="000B6A0B">
        <w:t>Pathol</w:t>
      </w:r>
      <w:proofErr w:type="spellEnd"/>
      <w:r w:rsidRPr="000B6A0B">
        <w:t>. 2016 Jun</w:t>
      </w:r>
      <w:proofErr w:type="gramStart"/>
      <w:r w:rsidRPr="000B6A0B">
        <w:t>;10</w:t>
      </w:r>
      <w:proofErr w:type="gramEnd"/>
    </w:p>
    <w:p w:rsidR="00813E6A" w:rsidRDefault="00813E6A" w:rsidP="00813E6A">
      <w:pPr>
        <w:pStyle w:val="Default"/>
        <w:spacing w:after="7"/>
        <w:rPr>
          <w:sz w:val="22"/>
          <w:szCs w:val="22"/>
        </w:rPr>
      </w:pPr>
    </w:p>
    <w:p w:rsidR="00813E6A" w:rsidRPr="000B6A0B" w:rsidRDefault="00813E6A" w:rsidP="00813E6A">
      <w:pPr>
        <w:pStyle w:val="Default"/>
        <w:spacing w:after="7"/>
      </w:pPr>
      <w:proofErr w:type="spellStart"/>
      <w:r w:rsidRPr="000B6A0B">
        <w:t>Skálová</w:t>
      </w:r>
      <w:proofErr w:type="spellEnd"/>
      <w:r w:rsidRPr="000B6A0B">
        <w:t xml:space="preserve"> A, et al. Acinic cell carcinoma with high-grade transformation: a report of 9 cases with immunohistochemical study and analysis of TP53 and HER-2/</w:t>
      </w:r>
      <w:proofErr w:type="spellStart"/>
      <w:r w:rsidRPr="000B6A0B">
        <w:t>neu</w:t>
      </w:r>
      <w:proofErr w:type="spellEnd"/>
      <w:r w:rsidRPr="000B6A0B">
        <w:t xml:space="preserve"> genes. </w:t>
      </w:r>
      <w:proofErr w:type="gramStart"/>
      <w:r w:rsidRPr="000B6A0B">
        <w:t xml:space="preserve">Am J </w:t>
      </w:r>
      <w:proofErr w:type="spellStart"/>
      <w:r w:rsidRPr="000B6A0B">
        <w:t>Surg</w:t>
      </w:r>
      <w:proofErr w:type="spellEnd"/>
      <w:r w:rsidRPr="000B6A0B">
        <w:t xml:space="preserve"> </w:t>
      </w:r>
      <w:proofErr w:type="spellStart"/>
      <w:r w:rsidRPr="000B6A0B">
        <w:t>Pathol</w:t>
      </w:r>
      <w:proofErr w:type="spellEnd"/>
      <w:r w:rsidRPr="000B6A0B">
        <w:t>.</w:t>
      </w:r>
      <w:proofErr w:type="gramEnd"/>
      <w:r w:rsidRPr="000B6A0B">
        <w:t xml:space="preserve"> 2009 Aug</w:t>
      </w:r>
      <w:proofErr w:type="gramStart"/>
      <w:r w:rsidRPr="000B6A0B">
        <w:t>;33</w:t>
      </w:r>
      <w:proofErr w:type="gramEnd"/>
      <w:r w:rsidRPr="000B6A0B">
        <w:t>(8):1137-45</w:t>
      </w:r>
    </w:p>
    <w:p w:rsidR="00813E6A" w:rsidRDefault="00813E6A" w:rsidP="00813E6A">
      <w:pPr>
        <w:pStyle w:val="Default"/>
        <w:spacing w:after="7"/>
        <w:rPr>
          <w:sz w:val="22"/>
          <w:szCs w:val="22"/>
        </w:rPr>
      </w:pPr>
    </w:p>
    <w:p w:rsidR="00813E6A" w:rsidRDefault="00813E6A" w:rsidP="00813E6A">
      <w:pPr>
        <w:pStyle w:val="Default"/>
        <w:spacing w:after="7"/>
      </w:pPr>
      <w:proofErr w:type="spellStart"/>
      <w:r w:rsidRPr="000B6A0B">
        <w:t>Ohtomo</w:t>
      </w:r>
      <w:proofErr w:type="spellEnd"/>
      <w:r w:rsidRPr="000B6A0B">
        <w:t xml:space="preserve"> R, Mori T, Shibata S, </w:t>
      </w:r>
      <w:proofErr w:type="spellStart"/>
      <w:r w:rsidRPr="000B6A0B">
        <w:t>Tsuta</w:t>
      </w:r>
      <w:proofErr w:type="spellEnd"/>
      <w:r w:rsidRPr="000B6A0B">
        <w:t xml:space="preserve"> K, </w:t>
      </w:r>
      <w:proofErr w:type="spellStart"/>
      <w:r w:rsidRPr="000B6A0B">
        <w:t>Maeshima</w:t>
      </w:r>
      <w:proofErr w:type="spellEnd"/>
      <w:r w:rsidRPr="000B6A0B">
        <w:t xml:space="preserve"> AM, </w:t>
      </w:r>
      <w:proofErr w:type="spellStart"/>
      <w:r w:rsidRPr="000B6A0B">
        <w:t>Akazawa</w:t>
      </w:r>
      <w:proofErr w:type="spellEnd"/>
      <w:r w:rsidRPr="000B6A0B">
        <w:t xml:space="preserve"> C, et al. SOX10 is a novel marker of acinus and intercalated duct differentiation in salivary gland tumors: a clue to the histogenesis for tumor diagnosis. Mod </w:t>
      </w:r>
      <w:proofErr w:type="spellStart"/>
      <w:r w:rsidRPr="000B6A0B">
        <w:t>Pathol</w:t>
      </w:r>
      <w:proofErr w:type="spellEnd"/>
      <w:r w:rsidRPr="000B6A0B">
        <w:t>. 2013</w:t>
      </w:r>
      <w:proofErr w:type="gramStart"/>
      <w:r w:rsidRPr="000B6A0B">
        <w:t>;26:1041</w:t>
      </w:r>
      <w:proofErr w:type="gramEnd"/>
      <w:r w:rsidRPr="000B6A0B">
        <w:t>-50.</w:t>
      </w:r>
    </w:p>
    <w:p w:rsidR="00813E6A" w:rsidRDefault="00813E6A" w:rsidP="00813E6A">
      <w:pPr>
        <w:pStyle w:val="Default"/>
        <w:spacing w:after="7"/>
      </w:pPr>
    </w:p>
    <w:p w:rsidR="00813E6A" w:rsidRPr="000B6A0B" w:rsidRDefault="00813E6A" w:rsidP="00813E6A">
      <w:pPr>
        <w:pStyle w:val="Default"/>
        <w:spacing w:after="7"/>
      </w:pPr>
      <w:r w:rsidRPr="000B6A0B">
        <w:t xml:space="preserve">Williams L, Thompson LD, </w:t>
      </w:r>
      <w:proofErr w:type="spellStart"/>
      <w:r w:rsidRPr="000B6A0B">
        <w:t>Seethala</w:t>
      </w:r>
      <w:proofErr w:type="spellEnd"/>
      <w:r w:rsidRPr="000B6A0B">
        <w:t xml:space="preserve"> RR, </w:t>
      </w:r>
      <w:proofErr w:type="spellStart"/>
      <w:r w:rsidRPr="000B6A0B">
        <w:t>Weinreb</w:t>
      </w:r>
      <w:proofErr w:type="spellEnd"/>
      <w:r w:rsidRPr="000B6A0B">
        <w:t xml:space="preserve"> I, </w:t>
      </w:r>
      <w:proofErr w:type="spellStart"/>
      <w:r w:rsidRPr="000B6A0B">
        <w:t>Assaad</w:t>
      </w:r>
      <w:proofErr w:type="spellEnd"/>
      <w:r w:rsidRPr="000B6A0B">
        <w:t xml:space="preserve"> AM, </w:t>
      </w:r>
      <w:proofErr w:type="spellStart"/>
      <w:r w:rsidRPr="000B6A0B">
        <w:t>Tuluc</w:t>
      </w:r>
      <w:proofErr w:type="spellEnd"/>
      <w:r w:rsidRPr="000B6A0B">
        <w:t xml:space="preserve"> M, et al. Salivary duct carcinoma: the predominance of apocrine morphology, prevalence of histologic variants, and androgen receptor expression. </w:t>
      </w:r>
      <w:proofErr w:type="gramStart"/>
      <w:r w:rsidRPr="000B6A0B">
        <w:t xml:space="preserve">Am J </w:t>
      </w:r>
      <w:proofErr w:type="spellStart"/>
      <w:r w:rsidRPr="000B6A0B">
        <w:t>Surg</w:t>
      </w:r>
      <w:proofErr w:type="spellEnd"/>
      <w:r w:rsidRPr="000B6A0B">
        <w:t xml:space="preserve"> </w:t>
      </w:r>
      <w:proofErr w:type="spellStart"/>
      <w:r w:rsidRPr="000B6A0B">
        <w:t>Pathol</w:t>
      </w:r>
      <w:proofErr w:type="spellEnd"/>
      <w:r w:rsidRPr="000B6A0B">
        <w:t>.</w:t>
      </w:r>
      <w:proofErr w:type="gramEnd"/>
      <w:r w:rsidRPr="000B6A0B">
        <w:t xml:space="preserve"> 2015</w:t>
      </w:r>
      <w:proofErr w:type="gramStart"/>
      <w:r w:rsidRPr="000B6A0B">
        <w:t>;39:705</w:t>
      </w:r>
      <w:proofErr w:type="gramEnd"/>
      <w:r w:rsidRPr="000B6A0B">
        <w:t xml:space="preserve">-13. </w:t>
      </w:r>
    </w:p>
    <w:p w:rsidR="00813E6A" w:rsidRPr="000B6A0B" w:rsidRDefault="00813E6A" w:rsidP="00813E6A">
      <w:pPr>
        <w:pStyle w:val="Default"/>
        <w:spacing w:after="7"/>
      </w:pPr>
    </w:p>
    <w:p w:rsidR="00813E6A" w:rsidRPr="00C90DE5" w:rsidRDefault="00813E6A" w:rsidP="00813E6A">
      <w:pPr>
        <w:rPr>
          <w:rFonts w:ascii="Arial" w:hAnsi="Arial" w:cs="Arial"/>
          <w:sz w:val="24"/>
          <w:szCs w:val="24"/>
        </w:rPr>
      </w:pPr>
      <w:proofErr w:type="spellStart"/>
      <w:r w:rsidRPr="00C90DE5">
        <w:rPr>
          <w:rFonts w:ascii="Arial" w:hAnsi="Arial" w:cs="Arial"/>
          <w:sz w:val="24"/>
          <w:szCs w:val="24"/>
        </w:rPr>
        <w:t>Petersson</w:t>
      </w:r>
      <w:proofErr w:type="spellEnd"/>
      <w:r w:rsidRPr="00C90DE5">
        <w:rPr>
          <w:rFonts w:ascii="Arial" w:hAnsi="Arial" w:cs="Arial"/>
          <w:sz w:val="24"/>
          <w:szCs w:val="24"/>
        </w:rPr>
        <w:t xml:space="preserve">, F.  High-Grade Transformation (“Dedifferentiation”)-Malignant Progression of Salivary Gland Neoplasms, Including Carcinoma ex Pleomorphic Adenoma: A Review. </w:t>
      </w:r>
      <w:proofErr w:type="spellStart"/>
      <w:r w:rsidRPr="00C90DE5">
        <w:rPr>
          <w:rFonts w:ascii="Arial" w:hAnsi="Arial" w:cs="Arial"/>
          <w:sz w:val="24"/>
          <w:szCs w:val="24"/>
        </w:rPr>
        <w:t>Pathol</w:t>
      </w:r>
      <w:proofErr w:type="spellEnd"/>
      <w:r w:rsidRPr="00C90DE5">
        <w:rPr>
          <w:rFonts w:ascii="Arial" w:hAnsi="Arial" w:cs="Arial"/>
          <w:sz w:val="24"/>
          <w:szCs w:val="24"/>
        </w:rPr>
        <w:t xml:space="preserve"> Case Rev 2015; 20:27–37</w:t>
      </w:r>
    </w:p>
    <w:p w:rsidR="00813E6A" w:rsidRPr="00C90DE5" w:rsidRDefault="00813E6A" w:rsidP="00813E6A">
      <w:pPr>
        <w:pStyle w:val="Default"/>
        <w:spacing w:after="7"/>
      </w:pPr>
    </w:p>
    <w:p w:rsidR="00813E6A" w:rsidRPr="00C90DE5" w:rsidRDefault="00813E6A" w:rsidP="00813E6A">
      <w:pPr>
        <w:pStyle w:val="Default"/>
        <w:spacing w:after="7"/>
      </w:pPr>
    </w:p>
    <w:p w:rsidR="00813E6A" w:rsidRPr="00FF14F5" w:rsidRDefault="00813E6A" w:rsidP="00813E6A">
      <w:pPr>
        <w:pStyle w:val="Default"/>
        <w:spacing w:after="7"/>
      </w:pPr>
    </w:p>
    <w:p w:rsidR="00813E6A" w:rsidRPr="00724A18" w:rsidRDefault="00813E6A" w:rsidP="00813E6A">
      <w:pPr>
        <w:pStyle w:val="Default"/>
        <w:spacing w:after="7"/>
        <w:rPr>
          <w:sz w:val="22"/>
          <w:szCs w:val="22"/>
        </w:rPr>
      </w:pPr>
    </w:p>
    <w:p w:rsidR="00183C38" w:rsidRDefault="00183C38">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Default="00CC4442">
      <w:pPr>
        <w:pStyle w:val="normal0"/>
        <w:spacing w:after="0" w:line="240" w:lineRule="auto"/>
        <w:jc w:val="center"/>
      </w:pPr>
    </w:p>
    <w:p w:rsidR="00CC4442" w:rsidRPr="00AF78B1" w:rsidRDefault="00CC4442" w:rsidP="00CC4442">
      <w:pPr>
        <w:rPr>
          <w:rFonts w:ascii="Arial" w:hAnsi="Arial" w:cs="Arial"/>
          <w:b/>
          <w:sz w:val="20"/>
          <w:szCs w:val="20"/>
          <w:u w:val="single"/>
        </w:rPr>
      </w:pPr>
      <w:r>
        <w:rPr>
          <w:rFonts w:ascii="Arial" w:hAnsi="Arial" w:cs="Arial"/>
          <w:b/>
          <w:sz w:val="20"/>
          <w:szCs w:val="20"/>
          <w:u w:val="single"/>
        </w:rPr>
        <w:t>Case 3</w:t>
      </w:r>
      <w:r w:rsidRPr="00AF78B1">
        <w:rPr>
          <w:rFonts w:ascii="Arial" w:hAnsi="Arial" w:cs="Arial"/>
          <w:b/>
          <w:sz w:val="20"/>
          <w:szCs w:val="20"/>
          <w:u w:val="single"/>
        </w:rPr>
        <w:t xml:space="preserve"> </w:t>
      </w:r>
    </w:p>
    <w:p w:rsidR="00CC4442" w:rsidRPr="00AF78B1" w:rsidRDefault="00CC4442" w:rsidP="00CC4442">
      <w:pPr>
        <w:rPr>
          <w:rFonts w:ascii="Arial" w:hAnsi="Arial" w:cs="Arial"/>
          <w:b/>
          <w:sz w:val="20"/>
          <w:szCs w:val="20"/>
          <w:u w:val="single"/>
        </w:rPr>
      </w:pPr>
      <w:r w:rsidRPr="00AF78B1">
        <w:rPr>
          <w:rFonts w:ascii="Arial" w:hAnsi="Arial" w:cs="Arial"/>
          <w:b/>
          <w:sz w:val="20"/>
          <w:szCs w:val="20"/>
          <w:u w:val="single"/>
        </w:rPr>
        <w:t>Presenter</w:t>
      </w:r>
      <w:r w:rsidRPr="00AF78B1">
        <w:rPr>
          <w:rFonts w:ascii="Arial" w:hAnsi="Arial" w:cs="Arial"/>
          <w:b/>
          <w:sz w:val="20"/>
          <w:szCs w:val="20"/>
        </w:rPr>
        <w:t>: Nicolas Lopez-</w:t>
      </w:r>
      <w:proofErr w:type="spellStart"/>
      <w:r w:rsidRPr="00AF78B1">
        <w:rPr>
          <w:rFonts w:ascii="Arial" w:hAnsi="Arial" w:cs="Arial"/>
          <w:b/>
          <w:sz w:val="20"/>
          <w:szCs w:val="20"/>
        </w:rPr>
        <w:t>Hisijos</w:t>
      </w:r>
      <w:proofErr w:type="spellEnd"/>
      <w:r w:rsidRPr="00AF78B1">
        <w:rPr>
          <w:rFonts w:ascii="Arial" w:hAnsi="Arial" w:cs="Arial"/>
          <w:b/>
          <w:sz w:val="20"/>
          <w:szCs w:val="20"/>
        </w:rPr>
        <w:t>, DO, PGY3</w:t>
      </w:r>
    </w:p>
    <w:p w:rsidR="00CC4442" w:rsidRPr="00AF78B1" w:rsidRDefault="00CC4442" w:rsidP="00CC4442">
      <w:pPr>
        <w:rPr>
          <w:rFonts w:ascii="Arial" w:hAnsi="Arial" w:cs="Arial"/>
          <w:b/>
          <w:sz w:val="20"/>
          <w:szCs w:val="20"/>
          <w:u w:val="single"/>
        </w:rPr>
      </w:pPr>
      <w:r w:rsidRPr="00AF78B1">
        <w:rPr>
          <w:rFonts w:ascii="Arial" w:hAnsi="Arial" w:cs="Arial"/>
          <w:b/>
          <w:sz w:val="20"/>
          <w:szCs w:val="20"/>
          <w:u w:val="single"/>
        </w:rPr>
        <w:t>Mentor</w:t>
      </w:r>
      <w:r w:rsidRPr="00AF78B1">
        <w:rPr>
          <w:rFonts w:ascii="Arial" w:hAnsi="Arial" w:cs="Arial"/>
          <w:b/>
          <w:sz w:val="20"/>
          <w:szCs w:val="20"/>
        </w:rPr>
        <w:t xml:space="preserve">: </w:t>
      </w:r>
      <w:proofErr w:type="spellStart"/>
      <w:r w:rsidRPr="00AF78B1">
        <w:rPr>
          <w:rFonts w:ascii="Arial" w:hAnsi="Arial" w:cs="Arial"/>
          <w:b/>
          <w:sz w:val="20"/>
          <w:szCs w:val="20"/>
        </w:rPr>
        <w:t>Kamran</w:t>
      </w:r>
      <w:proofErr w:type="spellEnd"/>
      <w:r w:rsidRPr="00AF78B1">
        <w:rPr>
          <w:rFonts w:ascii="Arial" w:hAnsi="Arial" w:cs="Arial"/>
          <w:b/>
          <w:sz w:val="20"/>
          <w:szCs w:val="20"/>
        </w:rPr>
        <w:t xml:space="preserve"> Mirza, MD, PhD</w:t>
      </w:r>
    </w:p>
    <w:p w:rsidR="00CC4442" w:rsidRPr="00AF78B1" w:rsidRDefault="00CC4442" w:rsidP="00CC4442">
      <w:pPr>
        <w:rPr>
          <w:rFonts w:ascii="Arial" w:hAnsi="Arial" w:cs="Arial"/>
          <w:b/>
          <w:sz w:val="20"/>
          <w:szCs w:val="20"/>
          <w:u w:val="single"/>
        </w:rPr>
      </w:pPr>
      <w:r w:rsidRPr="00AF78B1">
        <w:rPr>
          <w:rFonts w:ascii="Arial" w:hAnsi="Arial" w:cs="Arial"/>
          <w:b/>
          <w:sz w:val="20"/>
          <w:szCs w:val="20"/>
          <w:u w:val="single"/>
        </w:rPr>
        <w:t xml:space="preserve"> </w:t>
      </w:r>
    </w:p>
    <w:p w:rsidR="00CC4442" w:rsidRPr="00AF78B1" w:rsidRDefault="00CC4442" w:rsidP="00CC4442">
      <w:pPr>
        <w:rPr>
          <w:rFonts w:ascii="Arial" w:hAnsi="Arial" w:cs="Arial"/>
          <w:b/>
          <w:sz w:val="20"/>
          <w:szCs w:val="20"/>
          <w:u w:val="single"/>
        </w:rPr>
      </w:pPr>
      <w:r w:rsidRPr="00AF78B1">
        <w:rPr>
          <w:rFonts w:ascii="Arial" w:hAnsi="Arial" w:cs="Arial"/>
          <w:b/>
          <w:sz w:val="20"/>
          <w:szCs w:val="20"/>
          <w:u w:val="single"/>
        </w:rPr>
        <w:t>Clinical History:</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A 51 year-old female with a history of paroxysmal atrial fibrillation, and recurrent skin rashes presented at a community hospital for worsening epigastric pain. As part of the work-up, a transthoracic echocardiogram (TTE) was performed that showed a significant drop in ejection fraction (EF) to 30%. A chest x-ray showed severe cardiomegaly and pulmonary congestion. A couple of days after admission, the patient collapsed while walking to the restroom due to cardiac arrest, requiring CPR and defibrillation. She was found to be on atrial fibrillation (A-fib) with rapid ventricular rate (RVR). After the code, the patient was intubated and transferred to Loyola University Medical Center (LUMC).</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 xml:space="preserve">At LUMC, the patient’s arrhythmia was stabilized. She was found to have an elevated troponin </w:t>
      </w:r>
      <w:proofErr w:type="gramStart"/>
      <w:r w:rsidRPr="00AF78B1">
        <w:rPr>
          <w:rFonts w:ascii="Arial" w:eastAsia="Times New Roman" w:hAnsi="Arial" w:cs="Arial"/>
          <w:sz w:val="20"/>
          <w:szCs w:val="20"/>
        </w:rPr>
        <w:t>(0.07 ng/ml)</w:t>
      </w:r>
      <w:proofErr w:type="gramEnd"/>
      <w:r w:rsidRPr="00AF78B1">
        <w:rPr>
          <w:rFonts w:ascii="Arial" w:eastAsia="Times New Roman" w:hAnsi="Arial" w:cs="Arial"/>
          <w:sz w:val="20"/>
          <w:szCs w:val="20"/>
        </w:rPr>
        <w:t xml:space="preserve">. A stress MRI showed normal perfusion of the coronary arteries. A cardiac MRI showed evidence of myocardial edema, which raised the possibility of myocarditis. Of note, there was a left anterior descending (LAD) to left ventricle (LV) fistula, which was thought to be congenital and not the source of the patient’s symptoms. Also, the possibility of right sided heart failure seemed unlikely given a normal BNP and no symptoms of fluid overload. However, given the poor EF the patient was placed on inotropic medication. Blood cultures, urinalysis, and viral serologies were negative. At this point, in light of the patient’s medical history of recurrent skin rashes, which had previously been interpreted as vacuities, rheumatology was consulted. After extensive work-up, they were unable to find a source of autoimmune myocarditis. A skin biopsy was performed which showed lichenoid pigmented purpura, a benign process likely unrelated to her cardiac symptoms. After a week in the hospital, the patient was discharged with an implanted cardioverter defibrillator. </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 xml:space="preserve">After discharge, the patient’s condition remained fair for a couple of months with intermittent palpitations and occasional shortness of breath. Due to a prolonged QT interval, her options for anti-arrhythmic drugs were limited and the possibility of ablation was discussed. Three months after the initial presentation the patient required emergency ablation. After four months she presented at an outside hospital with worsening shortness of breath and epigastric abdominal pain. At this point her EF had dropped to 20%. Given the worsening cardiac symptoms without a clear etiology, a myocardial biopsy was performed which was read as “endo-myocardial tissue with interstitial lymphocytic infiltrate with scattered eosinophils, consistent with myocarditis.” Fungal, parasitic, and viral stains were performed which were negative. RT PCR for </w:t>
      </w:r>
      <w:proofErr w:type="spellStart"/>
      <w:r w:rsidRPr="00AF78B1">
        <w:rPr>
          <w:rFonts w:ascii="Arial" w:eastAsia="Times New Roman" w:hAnsi="Arial" w:cs="Arial"/>
          <w:sz w:val="20"/>
          <w:szCs w:val="20"/>
        </w:rPr>
        <w:t>cardiotropic</w:t>
      </w:r>
      <w:proofErr w:type="spellEnd"/>
      <w:r w:rsidRPr="00AF78B1">
        <w:rPr>
          <w:rFonts w:ascii="Arial" w:eastAsia="Times New Roman" w:hAnsi="Arial" w:cs="Arial"/>
          <w:sz w:val="20"/>
          <w:szCs w:val="20"/>
        </w:rPr>
        <w:t xml:space="preserve"> viruses such as CMV </w:t>
      </w:r>
      <w:proofErr w:type="gramStart"/>
      <w:r w:rsidRPr="00AF78B1">
        <w:rPr>
          <w:rFonts w:ascii="Arial" w:eastAsia="Times New Roman" w:hAnsi="Arial" w:cs="Arial"/>
          <w:sz w:val="20"/>
          <w:szCs w:val="20"/>
        </w:rPr>
        <w:t>were</w:t>
      </w:r>
      <w:proofErr w:type="gramEnd"/>
      <w:r w:rsidRPr="00AF78B1">
        <w:rPr>
          <w:rFonts w:ascii="Arial" w:eastAsia="Times New Roman" w:hAnsi="Arial" w:cs="Arial"/>
          <w:sz w:val="20"/>
          <w:szCs w:val="20"/>
        </w:rPr>
        <w:t xml:space="preserve"> negative. Electron microscopy studies did not show viral inclusions or parasites and no deposits were seen. A clinical diagnosis of myocarditis was made based on the edema seen on imaging coupled with the lymphocytic infiltration seen in the biopsy. However, the etiology remained unclear. </w:t>
      </w:r>
    </w:p>
    <w:p w:rsidR="00CC4442" w:rsidRPr="00AF78B1" w:rsidRDefault="00CC4442" w:rsidP="00CC4442">
      <w:pPr>
        <w:rPr>
          <w:rFonts w:ascii="Arial" w:eastAsia="Times New Roman" w:hAnsi="Arial" w:cs="Arial"/>
          <w:sz w:val="20"/>
          <w:szCs w:val="20"/>
        </w:rPr>
      </w:pPr>
      <w:r w:rsidRPr="00AF78B1">
        <w:rPr>
          <w:rFonts w:ascii="Arial" w:eastAsia="Times New Roman" w:hAnsi="Arial" w:cs="Arial"/>
          <w:sz w:val="20"/>
          <w:szCs w:val="20"/>
        </w:rPr>
        <w:t>After the biopsy results, the patient was placed on prednisone and dobutamine. After the steroid burst, a TTE was again performed which showed no improvement in EF, moderate aortic regurgitation, and severe tricuspid regurgitation. However her lactate levels had increased from 1.7 to 3.5, raising concern for poor perfusion despite intensive medical treatment. At this point, it was decided to place the patient in the cardiac transplantation list. She underwent orthotropic heart transplant two weeks later.</w:t>
      </w:r>
    </w:p>
    <w:p w:rsidR="00CC4442" w:rsidRPr="00AF78B1" w:rsidRDefault="00CC4442" w:rsidP="00CC4442">
      <w:pPr>
        <w:rPr>
          <w:sz w:val="20"/>
          <w:szCs w:val="20"/>
        </w:rPr>
      </w:pPr>
    </w:p>
    <w:p w:rsidR="00CC4442" w:rsidRPr="00AF78B1" w:rsidRDefault="00CC4442" w:rsidP="00CC4442">
      <w:pPr>
        <w:ind w:right="-630"/>
        <w:rPr>
          <w:sz w:val="20"/>
          <w:szCs w:val="20"/>
        </w:rPr>
      </w:pPr>
      <w:r w:rsidRPr="00AF78B1">
        <w:rPr>
          <w:noProof/>
          <w:sz w:val="20"/>
          <w:szCs w:val="20"/>
        </w:rPr>
        <w:drawing>
          <wp:inline distT="0" distB="0" distL="0" distR="0">
            <wp:extent cx="4452620" cy="1658661"/>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0"/>
                    <a:stretch/>
                  </pic:blipFill>
                  <pic:spPr bwMode="auto">
                    <a:xfrm>
                      <a:off x="0" y="0"/>
                      <a:ext cx="4454148" cy="1659230"/>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4442" w:rsidRPr="00AF78B1" w:rsidRDefault="00CC4442" w:rsidP="00CC4442">
      <w:pPr>
        <w:ind w:left="-90" w:right="-630"/>
        <w:rPr>
          <w:rFonts w:ascii="Arial" w:hAnsi="Arial" w:cs="Arial"/>
          <w:sz w:val="20"/>
          <w:szCs w:val="20"/>
        </w:rPr>
      </w:pPr>
      <w:r w:rsidRPr="00AF78B1">
        <w:rPr>
          <w:rFonts w:ascii="Arial" w:hAnsi="Arial" w:cs="Arial"/>
          <w:sz w:val="20"/>
          <w:szCs w:val="20"/>
        </w:rPr>
        <w:t>Figure 1: Clinical course from the detection of atrial fibrillation at the OSH to the OHT</w:t>
      </w:r>
    </w:p>
    <w:p w:rsidR="00CC4442" w:rsidRPr="00AF78B1" w:rsidRDefault="00CC4442" w:rsidP="00CC4442">
      <w:pPr>
        <w:ind w:left="-90" w:right="-630"/>
        <w:rPr>
          <w:rFonts w:ascii="Arial" w:hAnsi="Arial" w:cs="Arial"/>
          <w:sz w:val="20"/>
          <w:szCs w:val="20"/>
        </w:rPr>
      </w:pPr>
      <w:proofErr w:type="gramStart"/>
      <w:r w:rsidRPr="00AF78B1">
        <w:rPr>
          <w:rFonts w:ascii="Arial" w:hAnsi="Arial" w:cs="Arial"/>
          <w:sz w:val="20"/>
          <w:szCs w:val="20"/>
        </w:rPr>
        <w:t>at</w:t>
      </w:r>
      <w:proofErr w:type="gramEnd"/>
      <w:r w:rsidRPr="00AF78B1">
        <w:rPr>
          <w:rFonts w:ascii="Arial" w:hAnsi="Arial" w:cs="Arial"/>
          <w:sz w:val="20"/>
          <w:szCs w:val="20"/>
        </w:rPr>
        <w:t xml:space="preserve"> LUMC that led to the diagnosis of ALCL, ALK negative.</w:t>
      </w:r>
    </w:p>
    <w:p w:rsidR="00CC4442" w:rsidRPr="00AF78B1" w:rsidRDefault="00CC4442" w:rsidP="00CC4442">
      <w:pPr>
        <w:ind w:left="-90" w:right="-630"/>
        <w:rPr>
          <w:rFonts w:ascii="Arial" w:hAnsi="Arial" w:cs="Arial"/>
          <w:sz w:val="20"/>
          <w:szCs w:val="20"/>
        </w:rPr>
      </w:pPr>
    </w:p>
    <w:p w:rsidR="00CC4442" w:rsidRPr="00AF78B1" w:rsidRDefault="00CC4442" w:rsidP="00CC4442">
      <w:pPr>
        <w:autoSpaceDE w:val="0"/>
        <w:autoSpaceDN w:val="0"/>
        <w:adjustRightInd w:val="0"/>
        <w:rPr>
          <w:rFonts w:ascii="Arial" w:eastAsia="Times New Roman" w:hAnsi="Arial" w:cs="Arial"/>
          <w:b/>
          <w:sz w:val="20"/>
          <w:szCs w:val="20"/>
          <w:u w:val="single"/>
        </w:rPr>
      </w:pPr>
      <w:r w:rsidRPr="00AF78B1">
        <w:rPr>
          <w:rFonts w:ascii="Arial" w:eastAsia="Times New Roman" w:hAnsi="Arial" w:cs="Arial"/>
          <w:b/>
          <w:sz w:val="20"/>
          <w:szCs w:val="20"/>
          <w:u w:val="single"/>
        </w:rPr>
        <w:t>Pathologic Findings:</w:t>
      </w:r>
      <w:bookmarkStart w:id="0" w:name="_GoBack"/>
      <w:bookmarkEnd w:id="0"/>
    </w:p>
    <w:p w:rsidR="00CC4442" w:rsidRPr="00AF78B1" w:rsidRDefault="00CC4442" w:rsidP="00CC4442">
      <w:pPr>
        <w:autoSpaceDE w:val="0"/>
        <w:autoSpaceDN w:val="0"/>
        <w:adjustRightInd w:val="0"/>
        <w:rPr>
          <w:rFonts w:ascii="Arial" w:hAnsi="Arial" w:cs="Arial"/>
          <w:kern w:val="24"/>
          <w:sz w:val="20"/>
          <w:szCs w:val="20"/>
        </w:rPr>
      </w:pPr>
      <w:r w:rsidRPr="00AF78B1">
        <w:rPr>
          <w:rFonts w:ascii="Arial" w:eastAsia="Times New Roman" w:hAnsi="Arial" w:cs="Arial"/>
          <w:sz w:val="20"/>
          <w:szCs w:val="20"/>
        </w:rPr>
        <w:t>The explanted heart was grossly remarkable for an area of pallor in the posterior wall of the left ventricle. The weight and measurements were within normal limits. The valves were unremarkable with no lesions or calcifications. The coronary arteries were patent with no atherosclerosis. Histologic sections of the myocardium showed multiple large foci of lymphocytic infiltrates which were associated with myocyte damage. The infiltrate was composed mainly of small lymphocytes with occasional large pleomorphic cells. These larger lymphocytes showed a varied morphology including wreath-like nuclei, irregular nuclear contours, and “hallmark” cells. The pericardium and pericardial fat were also focally involved by this inflammatory infiltrate. Immunostains showed that the large cells were positive for CD45, CD30, and CD43 and negative for ALK-1, CD3, CD4, CD5, CD7, CD8, CD20, PAX5, CD15, CD21, CD61, CD10, CD61, BCL-2, CD10, CD15, CD68, TdT, MUM1, CD34, ALK1, CD56, EMA, BCL-6, EBER (ISH), and desmin. Special stains for fungus (</w:t>
      </w:r>
      <w:proofErr w:type="gramStart"/>
      <w:r w:rsidRPr="00AF78B1">
        <w:rPr>
          <w:rFonts w:ascii="Arial" w:eastAsia="Times New Roman" w:hAnsi="Arial" w:cs="Arial"/>
          <w:sz w:val="20"/>
          <w:szCs w:val="20"/>
        </w:rPr>
        <w:t>GMS),</w:t>
      </w:r>
      <w:proofErr w:type="gramEnd"/>
      <w:r w:rsidRPr="00AF78B1">
        <w:rPr>
          <w:rFonts w:ascii="Arial" w:eastAsia="Times New Roman" w:hAnsi="Arial" w:cs="Arial"/>
          <w:sz w:val="20"/>
          <w:szCs w:val="20"/>
        </w:rPr>
        <w:t xml:space="preserve"> and adenovirus and CMV immunostains were negative. Given the immunophenotype of the large pleomorphic cells, the possibility of cardiac involvement by a CD30 positive lymphoproliferative process was high on the differential diagnosis. Given the rarity of this finding, the case was sent out for consultation. Molecular studies to detect clonal B-cell and T-cell populations were performed at the outside institution and did not show evidence of a clonal population. Initially this was interpreted as a determinant factor favoring the diagnosis of a reactive process and myocarditis. However, given the morphologic findings, the consulting institution decided to amend their initial diagnosis and finally favored the diagnosis of ALK-1 negative anaplastic large cell lymphoma. After the diagnosis was made, unstained slides were sent for in-situ hybridization with a standard T-cell lymphoma panel. The large atypical cells showed amplification of c-Myc. Other probes tested were negative, these included </w:t>
      </w:r>
      <w:r w:rsidRPr="00AF78B1">
        <w:rPr>
          <w:rFonts w:ascii="Arial" w:hAnsi="Arial" w:cs="Arial"/>
          <w:kern w:val="24"/>
          <w:sz w:val="20"/>
          <w:szCs w:val="20"/>
        </w:rPr>
        <w:t>TP63</w:t>
      </w:r>
      <w:r w:rsidRPr="00AF78B1">
        <w:rPr>
          <w:rFonts w:ascii="Arial" w:eastAsia="Times New Roman" w:hAnsi="Arial" w:cs="Arial"/>
          <w:sz w:val="20"/>
          <w:szCs w:val="20"/>
        </w:rPr>
        <w:t xml:space="preserve">, ALK, </w:t>
      </w:r>
      <w:r w:rsidRPr="00AF78B1">
        <w:rPr>
          <w:rFonts w:ascii="Arial" w:hAnsi="Arial" w:cs="Arial"/>
          <w:kern w:val="24"/>
          <w:sz w:val="20"/>
          <w:szCs w:val="20"/>
        </w:rPr>
        <w:t>TBL1XR1, TCL1A, and chromosome 7. The finding of c-Myc amplification solidified the diagnosis of a malignant lymphoid neoplasm.</w:t>
      </w:r>
    </w:p>
    <w:p w:rsidR="00CC4442" w:rsidRPr="00AF78B1" w:rsidRDefault="00CC4442" w:rsidP="00CC4442">
      <w:pPr>
        <w:autoSpaceDE w:val="0"/>
        <w:autoSpaceDN w:val="0"/>
        <w:adjustRightInd w:val="0"/>
        <w:rPr>
          <w:rFonts w:ascii="Arial" w:hAnsi="Arial" w:cs="Arial"/>
          <w:kern w:val="24"/>
          <w:sz w:val="20"/>
          <w:szCs w:val="20"/>
        </w:rPr>
      </w:pPr>
    </w:p>
    <w:p w:rsidR="00CC4442" w:rsidRPr="00AF78B1" w:rsidRDefault="00CC4442" w:rsidP="00CC4442">
      <w:pPr>
        <w:autoSpaceDE w:val="0"/>
        <w:autoSpaceDN w:val="0"/>
        <w:adjustRightInd w:val="0"/>
        <w:rPr>
          <w:rFonts w:ascii="Arial" w:hAnsi="Arial" w:cs="Arial"/>
          <w:kern w:val="24"/>
          <w:sz w:val="20"/>
          <w:szCs w:val="20"/>
        </w:rPr>
      </w:pPr>
      <w:r w:rsidRPr="00AF78B1">
        <w:rPr>
          <w:rFonts w:ascii="Arial" w:hAnsi="Arial" w:cs="Arial"/>
          <w:noProof/>
          <w:kern w:val="24"/>
          <w:sz w:val="20"/>
          <w:szCs w:val="20"/>
        </w:rPr>
        <w:lastRenderedPageBreak/>
        <w:drawing>
          <wp:inline distT="0" distB="0" distL="0" distR="0">
            <wp:extent cx="5543550" cy="1796177"/>
            <wp:effectExtent l="0" t="0" r="0" b="762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1796177"/>
                    </a:xfrm>
                    <a:prstGeom prst="rect">
                      <a:avLst/>
                    </a:prstGeom>
                    <a:noFill/>
                    <a:ln>
                      <a:noFill/>
                    </a:ln>
                  </pic:spPr>
                </pic:pic>
              </a:graphicData>
            </a:graphic>
          </wp:inline>
        </w:drawing>
      </w:r>
    </w:p>
    <w:p w:rsidR="00CC4442" w:rsidRPr="00AF78B1" w:rsidRDefault="00CC4442" w:rsidP="00CC4442">
      <w:pPr>
        <w:autoSpaceDE w:val="0"/>
        <w:autoSpaceDN w:val="0"/>
        <w:adjustRightInd w:val="0"/>
        <w:rPr>
          <w:rFonts w:ascii="Arial" w:hAnsi="Arial" w:cs="Arial"/>
          <w:kern w:val="24"/>
          <w:sz w:val="20"/>
          <w:szCs w:val="20"/>
        </w:rPr>
      </w:pPr>
      <w:r w:rsidRPr="00AF78B1">
        <w:rPr>
          <w:rFonts w:ascii="Arial" w:hAnsi="Arial" w:cs="Arial"/>
          <w:kern w:val="24"/>
          <w:sz w:val="20"/>
          <w:szCs w:val="20"/>
        </w:rPr>
        <w:t xml:space="preserve">Figure 2: A patchy but extensive lymphocytic infiltrate was seen in the sections from the heart explant specimen (A). The infiltrate was composed mainly of small lymphocytes but numerous eosinophils and atypical large lymphoid cells were present (B). The larger cells showed very atypical morphology with large irregular nuclei with prominent nucleoli and hallmark morphology (C).  In some areas these </w:t>
      </w:r>
      <w:proofErr w:type="spellStart"/>
      <w:r w:rsidRPr="00AF78B1">
        <w:rPr>
          <w:rFonts w:ascii="Arial" w:hAnsi="Arial" w:cs="Arial"/>
          <w:kern w:val="24"/>
          <w:sz w:val="20"/>
          <w:szCs w:val="20"/>
        </w:rPr>
        <w:t>alrge</w:t>
      </w:r>
      <w:proofErr w:type="spellEnd"/>
      <w:r w:rsidRPr="00AF78B1">
        <w:rPr>
          <w:rFonts w:ascii="Arial" w:hAnsi="Arial" w:cs="Arial"/>
          <w:kern w:val="24"/>
          <w:sz w:val="20"/>
          <w:szCs w:val="20"/>
        </w:rPr>
        <w:t xml:space="preserve"> atypical cells were present in sheets. </w:t>
      </w:r>
    </w:p>
    <w:p w:rsidR="00CC4442" w:rsidRPr="00AF78B1" w:rsidRDefault="00CC4442" w:rsidP="00CC4442">
      <w:pPr>
        <w:autoSpaceDE w:val="0"/>
        <w:autoSpaceDN w:val="0"/>
        <w:adjustRightInd w:val="0"/>
        <w:rPr>
          <w:rFonts w:ascii="Arial" w:hAnsi="Arial" w:cs="Arial"/>
          <w:kern w:val="24"/>
          <w:sz w:val="20"/>
          <w:szCs w:val="20"/>
        </w:rPr>
      </w:pPr>
    </w:p>
    <w:p w:rsidR="00CC4442" w:rsidRPr="00AF78B1" w:rsidRDefault="00CC4442" w:rsidP="00CC4442">
      <w:pPr>
        <w:autoSpaceDE w:val="0"/>
        <w:autoSpaceDN w:val="0"/>
        <w:adjustRightInd w:val="0"/>
        <w:rPr>
          <w:rFonts w:ascii="Arial" w:hAnsi="Arial" w:cs="Arial"/>
          <w:b/>
          <w:kern w:val="24"/>
          <w:sz w:val="20"/>
          <w:szCs w:val="20"/>
        </w:rPr>
      </w:pPr>
      <w:r w:rsidRPr="00AF78B1">
        <w:rPr>
          <w:rFonts w:ascii="Arial" w:hAnsi="Arial" w:cs="Arial"/>
          <w:b/>
          <w:kern w:val="24"/>
          <w:sz w:val="20"/>
          <w:szCs w:val="20"/>
          <w:u w:val="single"/>
        </w:rPr>
        <w:t>Discussion</w:t>
      </w:r>
      <w:r w:rsidRPr="00AF78B1">
        <w:rPr>
          <w:rFonts w:ascii="Arial" w:hAnsi="Arial" w:cs="Arial"/>
          <w:b/>
          <w:kern w:val="24"/>
          <w:sz w:val="20"/>
          <w:szCs w:val="20"/>
        </w:rPr>
        <w:t>:</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To our knowledge this is the first reported case of cardiac primary ALK negative ALCL. A couple cases of cardiac primary ALK positive ALCL have been reported in children and young adults. There are also many cases of secondary cardiac involvement by ALK positive ALCL that have been reported. Primary cardiac malignancies are rare in general, and primary cardiac lymphomas (PCL) are exceedingly rare and frequently diagnosed at autopsy. PCL usually affects immunocompromised hosts and is most commonly diffuse large B-cell lymphoma.</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 xml:space="preserve">Anaplastic large cell lymphoma (ALCL) is a disease that is separated by the WHO into anaplastic lymphoma kinase (ALK) positive and negative subsets. Morphologically these are indistinguishable </w:t>
      </w:r>
      <w:proofErr w:type="gramStart"/>
      <w:r w:rsidRPr="00AF78B1">
        <w:rPr>
          <w:rFonts w:ascii="Arial" w:eastAsia="Times New Roman" w:hAnsi="Arial" w:cs="Arial"/>
          <w:sz w:val="20"/>
          <w:szCs w:val="20"/>
        </w:rPr>
        <w:t>entities,</w:t>
      </w:r>
      <w:proofErr w:type="gramEnd"/>
      <w:r w:rsidRPr="00AF78B1">
        <w:rPr>
          <w:rFonts w:ascii="Arial" w:eastAsia="Times New Roman" w:hAnsi="Arial" w:cs="Arial"/>
          <w:sz w:val="20"/>
          <w:szCs w:val="20"/>
        </w:rPr>
        <w:t xml:space="preserve"> however their clinical behavior and epidemiology are different. ALK positive ALCL most commonly affects children and young adults and has a good prognosis. It often presents with extra-nodal involvement, most commonly the skin and soft tissues. The expression of the ALK gene is most often a consequence of the fusion between the </w:t>
      </w:r>
      <w:proofErr w:type="spellStart"/>
      <w:r w:rsidRPr="00AF78B1">
        <w:rPr>
          <w:rFonts w:ascii="Arial" w:eastAsia="Times New Roman" w:hAnsi="Arial" w:cs="Arial"/>
          <w:sz w:val="20"/>
          <w:szCs w:val="20"/>
        </w:rPr>
        <w:t>nucleophosmin</w:t>
      </w:r>
      <w:proofErr w:type="spellEnd"/>
      <w:r w:rsidRPr="00AF78B1">
        <w:rPr>
          <w:rFonts w:ascii="Arial" w:eastAsia="Times New Roman" w:hAnsi="Arial" w:cs="Arial"/>
          <w:sz w:val="20"/>
          <w:szCs w:val="20"/>
        </w:rPr>
        <w:t xml:space="preserve"> (NPM) gene on chromosome 5 and the ALK gene on chromosome 2, t(2;5)(p23;q35). ALK negative most commonly affects adults after the fourth decade and is less likely to involve extra-nodal sites. It has a markedly worse prognosis than ALK positive ALCL.</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 xml:space="preserve">Once the various etiologies of myocarditis had been ruled out, our differential diagnosis included peripheral T-cell lymphoma, not otherwise specified (PTCL, NOS), mycosis fungoides (MF) with large cell transformation, and Hodgkin lymphoma. The strong and diffuse expression of CD30 in our tumor cells ruled out PTCL, NOS. The previous skin biopsies which had been negative for lymphoma ruled-out MF. Finally, the T-cell immunophenotype (manifested only by CD43) ruled out the possibility of Hodgkin. A member of the tumor necrosis factor receptor super family (TNFRSF), CD30 is expressed in activated lymphocytes. It is commonly a positive regulator of apoptosis, limiting the proliferation of CD8 effector T-cells. Thus, the postulated normal counter part of ALCL is an activated mature T-cell. Clinically, both PTCL NOS and ALK negative ALCL have a similar prognosis.  In our case, the large lymphocytes only expressed one T-cell marker, CD43, which before the current </w:t>
      </w:r>
      <w:proofErr w:type="gramStart"/>
      <w:r w:rsidRPr="00AF78B1">
        <w:rPr>
          <w:rFonts w:ascii="Arial" w:eastAsia="Times New Roman" w:hAnsi="Arial" w:cs="Arial"/>
          <w:sz w:val="20"/>
          <w:szCs w:val="20"/>
        </w:rPr>
        <w:t>WHO,</w:t>
      </w:r>
      <w:proofErr w:type="gramEnd"/>
      <w:r w:rsidRPr="00AF78B1">
        <w:rPr>
          <w:rFonts w:ascii="Arial" w:eastAsia="Times New Roman" w:hAnsi="Arial" w:cs="Arial"/>
          <w:sz w:val="20"/>
          <w:szCs w:val="20"/>
        </w:rPr>
        <w:t xml:space="preserve"> would have been considered a T/null cell phenotype, which is very common for both ALK positive and negative ALCLs. </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lastRenderedPageBreak/>
        <w:t xml:space="preserve">An exuberant inflammatory response (myocarditis) was also high in the differential, especially since the T-cell receptor PCR did not show a clonal population. However, false negative results are common. Probable causes include the relative lack of tumor cells and a possible T-cell receptor rearrangement that is not recognized by the commercially available primers. Finally, the c-Myc amplification was consistent with a malignant process, as the role of c-Myc is well known in oncogenesis. However, the role c-Myc in ALK negative ALCL has not been recognized. Given the morphology of the tumor cells and the protracted clinical despite treatment the diagnosis of a malignant neoplasm was made. </w:t>
      </w:r>
    </w:p>
    <w:p w:rsidR="00CC4442" w:rsidRPr="00AF78B1" w:rsidRDefault="00CC4442" w:rsidP="00CC4442">
      <w:pPr>
        <w:autoSpaceDE w:val="0"/>
        <w:autoSpaceDN w:val="0"/>
        <w:adjustRightInd w:val="0"/>
        <w:rPr>
          <w:rFonts w:ascii="Arial" w:eastAsia="Times New Roman" w:hAnsi="Arial" w:cs="Arial"/>
          <w:sz w:val="20"/>
          <w:szCs w:val="20"/>
        </w:rPr>
      </w:pPr>
      <w:r w:rsidRPr="00AF78B1">
        <w:rPr>
          <w:rFonts w:ascii="Arial" w:eastAsia="Times New Roman" w:hAnsi="Arial" w:cs="Arial"/>
          <w:sz w:val="20"/>
          <w:szCs w:val="20"/>
        </w:rPr>
        <w:t xml:space="preserve">Since transplant, our patient's cardiac function has continued to improve and there has been no evidence of rejection in subsequent biopsies. </w:t>
      </w:r>
    </w:p>
    <w:p w:rsidR="00CC4442" w:rsidRDefault="00CC4442" w:rsidP="00CC4442">
      <w:pPr>
        <w:autoSpaceDE w:val="0"/>
        <w:autoSpaceDN w:val="0"/>
        <w:adjustRightInd w:val="0"/>
        <w:rPr>
          <w:rFonts w:ascii="Arial" w:eastAsia="Times New Roman" w:hAnsi="Arial" w:cs="Arial"/>
          <w:sz w:val="18"/>
          <w:szCs w:val="18"/>
        </w:rPr>
      </w:pPr>
    </w:p>
    <w:p w:rsidR="00CC4442" w:rsidRDefault="00CC4442" w:rsidP="00CC4442">
      <w:pPr>
        <w:autoSpaceDE w:val="0"/>
        <w:autoSpaceDN w:val="0"/>
        <w:adjustRightInd w:val="0"/>
        <w:rPr>
          <w:rFonts w:ascii="Arial" w:eastAsia="Times New Roman" w:hAnsi="Arial" w:cs="Arial"/>
          <w:sz w:val="18"/>
          <w:szCs w:val="18"/>
        </w:rPr>
      </w:pPr>
    </w:p>
    <w:p w:rsidR="00CC4442" w:rsidRPr="00AF78B1" w:rsidRDefault="00CC4442" w:rsidP="00CC4442">
      <w:pPr>
        <w:autoSpaceDE w:val="0"/>
        <w:autoSpaceDN w:val="0"/>
        <w:adjustRightInd w:val="0"/>
        <w:rPr>
          <w:rFonts w:ascii="Arial" w:eastAsia="Times New Roman" w:hAnsi="Arial" w:cs="Arial"/>
          <w:b/>
          <w:sz w:val="18"/>
          <w:szCs w:val="18"/>
          <w:u w:val="single"/>
        </w:rPr>
      </w:pPr>
      <w:r w:rsidRPr="00AF78B1">
        <w:rPr>
          <w:rFonts w:ascii="Arial" w:eastAsia="Times New Roman" w:hAnsi="Arial" w:cs="Arial"/>
          <w:b/>
          <w:sz w:val="18"/>
          <w:szCs w:val="18"/>
          <w:u w:val="single"/>
        </w:rPr>
        <w:t xml:space="preserve">References </w:t>
      </w:r>
    </w:p>
    <w:p w:rsidR="00CC4442" w:rsidRPr="00AF78B1" w:rsidRDefault="00CC4442" w:rsidP="00CC4442">
      <w:pPr>
        <w:ind w:right="-630"/>
        <w:rPr>
          <w:rFonts w:ascii="Arial" w:hAnsi="Arial" w:cs="Arial"/>
          <w:sz w:val="20"/>
          <w:szCs w:val="20"/>
        </w:rPr>
      </w:pPr>
      <w:r w:rsidRPr="00AF78B1">
        <w:rPr>
          <w:rFonts w:ascii="Arial" w:hAnsi="Arial" w:cs="Arial"/>
          <w:sz w:val="20"/>
          <w:szCs w:val="20"/>
        </w:rPr>
        <w:br/>
        <w:t xml:space="preserve">1. </w:t>
      </w:r>
      <w:proofErr w:type="spellStart"/>
      <w:r w:rsidRPr="00AF78B1">
        <w:rPr>
          <w:rFonts w:ascii="Arial" w:hAnsi="Arial" w:cs="Arial"/>
          <w:sz w:val="20"/>
          <w:szCs w:val="20"/>
        </w:rPr>
        <w:t>Weilemann</w:t>
      </w:r>
      <w:proofErr w:type="spellEnd"/>
      <w:r w:rsidRPr="00AF78B1">
        <w:rPr>
          <w:rFonts w:ascii="Arial" w:hAnsi="Arial" w:cs="Arial"/>
          <w:sz w:val="20"/>
          <w:szCs w:val="20"/>
        </w:rPr>
        <w:t xml:space="preserve"> A, </w:t>
      </w:r>
      <w:proofErr w:type="spellStart"/>
      <w:r w:rsidRPr="00AF78B1">
        <w:rPr>
          <w:rFonts w:ascii="Arial" w:hAnsi="Arial" w:cs="Arial"/>
          <w:sz w:val="20"/>
          <w:szCs w:val="20"/>
        </w:rPr>
        <w:t>Grau</w:t>
      </w:r>
      <w:proofErr w:type="spellEnd"/>
      <w:r w:rsidRPr="00AF78B1">
        <w:rPr>
          <w:rFonts w:ascii="Arial" w:hAnsi="Arial" w:cs="Arial"/>
          <w:sz w:val="20"/>
          <w:szCs w:val="20"/>
        </w:rPr>
        <w:t xml:space="preserve"> M, Erdmann T, Merkel O, </w:t>
      </w:r>
      <w:proofErr w:type="spellStart"/>
      <w:r w:rsidRPr="00AF78B1">
        <w:rPr>
          <w:rFonts w:ascii="Arial" w:hAnsi="Arial" w:cs="Arial"/>
          <w:sz w:val="20"/>
          <w:szCs w:val="20"/>
        </w:rPr>
        <w:t>Sobhiafshar</w:t>
      </w:r>
      <w:proofErr w:type="spellEnd"/>
      <w:r w:rsidRPr="00AF78B1">
        <w:rPr>
          <w:rFonts w:ascii="Arial" w:hAnsi="Arial" w:cs="Arial"/>
          <w:sz w:val="20"/>
          <w:szCs w:val="20"/>
        </w:rPr>
        <w:t xml:space="preserve"> U, </w:t>
      </w:r>
      <w:proofErr w:type="spellStart"/>
      <w:r w:rsidRPr="00AF78B1">
        <w:rPr>
          <w:rFonts w:ascii="Arial" w:hAnsi="Arial" w:cs="Arial"/>
          <w:sz w:val="20"/>
          <w:szCs w:val="20"/>
        </w:rPr>
        <w:t>Anagnostopoulos</w:t>
      </w:r>
      <w:proofErr w:type="spellEnd"/>
      <w:r w:rsidRPr="00AF78B1">
        <w:rPr>
          <w:rFonts w:ascii="Arial" w:hAnsi="Arial" w:cs="Arial"/>
          <w:sz w:val="20"/>
          <w:szCs w:val="20"/>
        </w:rPr>
        <w:t xml:space="preserve"> I, Hummel M, Siegert A, </w:t>
      </w:r>
      <w:proofErr w:type="spellStart"/>
      <w:r w:rsidRPr="00AF78B1">
        <w:rPr>
          <w:rFonts w:ascii="Arial" w:hAnsi="Arial" w:cs="Arial"/>
          <w:sz w:val="20"/>
          <w:szCs w:val="20"/>
        </w:rPr>
        <w:t>Hayford</w:t>
      </w:r>
      <w:proofErr w:type="spellEnd"/>
      <w:r w:rsidRPr="00AF78B1">
        <w:rPr>
          <w:rFonts w:ascii="Arial" w:hAnsi="Arial" w:cs="Arial"/>
          <w:sz w:val="20"/>
          <w:szCs w:val="20"/>
        </w:rPr>
        <w:t xml:space="preserve"> C, </w:t>
      </w:r>
      <w:proofErr w:type="spellStart"/>
      <w:r w:rsidRPr="00AF78B1">
        <w:rPr>
          <w:rFonts w:ascii="Arial" w:hAnsi="Arial" w:cs="Arial"/>
          <w:sz w:val="20"/>
          <w:szCs w:val="20"/>
        </w:rPr>
        <w:t>Madle</w:t>
      </w:r>
      <w:proofErr w:type="spellEnd"/>
      <w:r w:rsidRPr="00AF78B1">
        <w:rPr>
          <w:rFonts w:ascii="Arial" w:hAnsi="Arial" w:cs="Arial"/>
          <w:sz w:val="20"/>
          <w:szCs w:val="20"/>
        </w:rPr>
        <w:t xml:space="preserve"> H, </w:t>
      </w:r>
      <w:proofErr w:type="spellStart"/>
      <w:r w:rsidRPr="00AF78B1">
        <w:rPr>
          <w:rFonts w:ascii="Arial" w:hAnsi="Arial" w:cs="Arial"/>
          <w:sz w:val="20"/>
          <w:szCs w:val="20"/>
        </w:rPr>
        <w:t>Wollert-Wulf</w:t>
      </w:r>
      <w:proofErr w:type="spellEnd"/>
      <w:r w:rsidRPr="00AF78B1">
        <w:rPr>
          <w:rFonts w:ascii="Arial" w:hAnsi="Arial" w:cs="Arial"/>
          <w:sz w:val="20"/>
          <w:szCs w:val="20"/>
        </w:rPr>
        <w:t xml:space="preserve"> B, </w:t>
      </w:r>
      <w:proofErr w:type="spellStart"/>
      <w:r w:rsidRPr="00AF78B1">
        <w:rPr>
          <w:rFonts w:ascii="Arial" w:hAnsi="Arial" w:cs="Arial"/>
          <w:sz w:val="20"/>
          <w:szCs w:val="20"/>
        </w:rPr>
        <w:t>Fichtner</w:t>
      </w:r>
      <w:proofErr w:type="spellEnd"/>
      <w:r w:rsidRPr="00AF78B1">
        <w:rPr>
          <w:rFonts w:ascii="Arial" w:hAnsi="Arial" w:cs="Arial"/>
          <w:sz w:val="20"/>
          <w:szCs w:val="20"/>
        </w:rPr>
        <w:t xml:space="preserve"> I, </w:t>
      </w:r>
      <w:proofErr w:type="spellStart"/>
      <w:r w:rsidRPr="00AF78B1">
        <w:rPr>
          <w:rFonts w:ascii="Arial" w:hAnsi="Arial" w:cs="Arial"/>
          <w:sz w:val="20"/>
          <w:szCs w:val="20"/>
        </w:rPr>
        <w:t>Dörken</w:t>
      </w:r>
      <w:proofErr w:type="spellEnd"/>
      <w:r w:rsidRPr="00AF78B1">
        <w:rPr>
          <w:rFonts w:ascii="Arial" w:hAnsi="Arial" w:cs="Arial"/>
          <w:sz w:val="20"/>
          <w:szCs w:val="20"/>
        </w:rPr>
        <w:t xml:space="preserve"> B, </w:t>
      </w:r>
      <w:proofErr w:type="spellStart"/>
      <w:r w:rsidRPr="00AF78B1">
        <w:rPr>
          <w:rFonts w:ascii="Arial" w:hAnsi="Arial" w:cs="Arial"/>
          <w:sz w:val="20"/>
          <w:szCs w:val="20"/>
        </w:rPr>
        <w:t>Dirnhofer</w:t>
      </w:r>
      <w:proofErr w:type="spellEnd"/>
      <w:r w:rsidRPr="00AF78B1">
        <w:rPr>
          <w:rFonts w:ascii="Arial" w:hAnsi="Arial" w:cs="Arial"/>
          <w:sz w:val="20"/>
          <w:szCs w:val="20"/>
        </w:rPr>
        <w:t xml:space="preserve"> S, </w:t>
      </w:r>
      <w:proofErr w:type="spellStart"/>
      <w:r w:rsidRPr="00AF78B1">
        <w:rPr>
          <w:rFonts w:ascii="Arial" w:hAnsi="Arial" w:cs="Arial"/>
          <w:sz w:val="20"/>
          <w:szCs w:val="20"/>
        </w:rPr>
        <w:t>Mathas</w:t>
      </w:r>
      <w:proofErr w:type="spellEnd"/>
      <w:r w:rsidRPr="00AF78B1">
        <w:rPr>
          <w:rFonts w:ascii="Arial" w:hAnsi="Arial" w:cs="Arial"/>
          <w:sz w:val="20"/>
          <w:szCs w:val="20"/>
        </w:rPr>
        <w:t xml:space="preserve"> S, Janz M, </w:t>
      </w:r>
      <w:proofErr w:type="spellStart"/>
      <w:r w:rsidRPr="00AF78B1">
        <w:rPr>
          <w:rFonts w:ascii="Arial" w:hAnsi="Arial" w:cs="Arial"/>
          <w:sz w:val="20"/>
          <w:szCs w:val="20"/>
        </w:rPr>
        <w:t>Emre</w:t>
      </w:r>
      <w:proofErr w:type="spellEnd"/>
      <w:r w:rsidRPr="00AF78B1">
        <w:rPr>
          <w:rFonts w:ascii="Arial" w:hAnsi="Arial" w:cs="Arial"/>
          <w:sz w:val="20"/>
          <w:szCs w:val="20"/>
        </w:rPr>
        <w:t xml:space="preserve"> NC, </w:t>
      </w:r>
      <w:proofErr w:type="spellStart"/>
      <w:r w:rsidRPr="00AF78B1">
        <w:rPr>
          <w:rFonts w:ascii="Arial" w:hAnsi="Arial" w:cs="Arial"/>
          <w:sz w:val="20"/>
          <w:szCs w:val="20"/>
        </w:rPr>
        <w:t>Rosenwald</w:t>
      </w:r>
      <w:proofErr w:type="spellEnd"/>
      <w:r w:rsidRPr="00AF78B1">
        <w:rPr>
          <w:rFonts w:ascii="Arial" w:hAnsi="Arial" w:cs="Arial"/>
          <w:sz w:val="20"/>
          <w:szCs w:val="20"/>
        </w:rPr>
        <w:t xml:space="preserve"> A, Ott G, Lenz P, </w:t>
      </w:r>
      <w:proofErr w:type="spellStart"/>
      <w:r w:rsidRPr="00AF78B1">
        <w:rPr>
          <w:rFonts w:ascii="Arial" w:hAnsi="Arial" w:cs="Arial"/>
          <w:sz w:val="20"/>
          <w:szCs w:val="20"/>
        </w:rPr>
        <w:t>Tzankov</w:t>
      </w:r>
      <w:proofErr w:type="spellEnd"/>
      <w:r w:rsidRPr="00AF78B1">
        <w:rPr>
          <w:rFonts w:ascii="Arial" w:hAnsi="Arial" w:cs="Arial"/>
          <w:sz w:val="20"/>
          <w:szCs w:val="20"/>
        </w:rPr>
        <w:t xml:space="preserve"> A, Lenz </w:t>
      </w:r>
      <w:proofErr w:type="spellStart"/>
      <w:r w:rsidRPr="00AF78B1">
        <w:rPr>
          <w:rFonts w:ascii="Arial" w:hAnsi="Arial" w:cs="Arial"/>
          <w:sz w:val="20"/>
          <w:szCs w:val="20"/>
        </w:rPr>
        <w:t>G.</w:t>
      </w:r>
      <w:hyperlink r:id="rId21" w:history="1">
        <w:proofErr w:type="gramStart"/>
        <w:r w:rsidRPr="00AF78B1">
          <w:rPr>
            <w:rFonts w:ascii="Arial" w:hAnsi="Arial" w:cs="Arial"/>
            <w:sz w:val="20"/>
            <w:szCs w:val="20"/>
          </w:rPr>
          <w:t>Essential</w:t>
        </w:r>
        <w:proofErr w:type="spellEnd"/>
        <w:r w:rsidRPr="00AF78B1">
          <w:rPr>
            <w:rFonts w:ascii="Arial" w:hAnsi="Arial" w:cs="Arial"/>
            <w:sz w:val="20"/>
            <w:szCs w:val="20"/>
          </w:rPr>
          <w:t xml:space="preserve"> role of IRF4 and MYC signaling for survival of anaplastic large cell lymphoma.</w:t>
        </w:r>
        <w:proofErr w:type="gramEnd"/>
      </w:hyperlink>
      <w:r w:rsidRPr="00AF78B1">
        <w:rPr>
          <w:rFonts w:ascii="Arial" w:hAnsi="Arial" w:cs="Arial"/>
          <w:sz w:val="20"/>
          <w:szCs w:val="20"/>
        </w:rPr>
        <w:t> </w:t>
      </w:r>
      <w:proofErr w:type="gramStart"/>
      <w:r w:rsidRPr="00AF78B1">
        <w:rPr>
          <w:rFonts w:ascii="Arial" w:hAnsi="Arial" w:cs="Arial"/>
          <w:sz w:val="20"/>
          <w:szCs w:val="20"/>
        </w:rPr>
        <w:t>Blood.</w:t>
      </w:r>
      <w:proofErr w:type="gramEnd"/>
      <w:r w:rsidRPr="00AF78B1">
        <w:rPr>
          <w:rFonts w:ascii="Arial" w:hAnsi="Arial" w:cs="Arial"/>
          <w:sz w:val="20"/>
          <w:szCs w:val="20"/>
        </w:rPr>
        <w:t xml:space="preserve"> 2015 Jan 1</w:t>
      </w:r>
      <w:proofErr w:type="gramStart"/>
      <w:r w:rsidRPr="00AF78B1">
        <w:rPr>
          <w:rFonts w:ascii="Arial" w:hAnsi="Arial" w:cs="Arial"/>
          <w:sz w:val="20"/>
          <w:szCs w:val="20"/>
        </w:rPr>
        <w:t>;125</w:t>
      </w:r>
      <w:proofErr w:type="gramEnd"/>
      <w:r w:rsidRPr="00AF78B1">
        <w:rPr>
          <w:rFonts w:ascii="Arial" w:hAnsi="Arial" w:cs="Arial"/>
          <w:sz w:val="20"/>
          <w:szCs w:val="20"/>
        </w:rPr>
        <w:t xml:space="preserve">(1):124-32. </w:t>
      </w:r>
      <w:proofErr w:type="spellStart"/>
      <w:proofErr w:type="gramStart"/>
      <w:r w:rsidRPr="00AF78B1">
        <w:rPr>
          <w:rFonts w:ascii="Arial" w:hAnsi="Arial" w:cs="Arial"/>
          <w:sz w:val="20"/>
          <w:szCs w:val="20"/>
        </w:rPr>
        <w:t>doi</w:t>
      </w:r>
      <w:proofErr w:type="spellEnd"/>
      <w:proofErr w:type="gramEnd"/>
      <w:r>
        <w:rPr>
          <w:rFonts w:ascii="Arial" w:hAnsi="Arial" w:cs="Arial"/>
          <w:sz w:val="20"/>
          <w:szCs w:val="20"/>
        </w:rPr>
        <w:t>: 10.1182/blood-2014-08-594507.</w:t>
      </w:r>
      <w:r w:rsidRPr="00AF78B1">
        <w:rPr>
          <w:rFonts w:ascii="Arial" w:hAnsi="Arial" w:cs="Arial"/>
          <w:sz w:val="20"/>
          <w:szCs w:val="20"/>
        </w:rPr>
        <w:t> </w:t>
      </w:r>
    </w:p>
    <w:p w:rsidR="00CC4442" w:rsidRPr="00AF78B1" w:rsidRDefault="00CC4442" w:rsidP="00CC4442">
      <w:pPr>
        <w:ind w:right="-630"/>
        <w:rPr>
          <w:rFonts w:ascii="Arial" w:hAnsi="Arial" w:cs="Arial"/>
          <w:sz w:val="20"/>
          <w:szCs w:val="20"/>
        </w:rPr>
      </w:pPr>
      <w:r w:rsidRPr="00AF78B1">
        <w:rPr>
          <w:rFonts w:ascii="Arial" w:hAnsi="Arial" w:cs="Arial"/>
          <w:sz w:val="20"/>
          <w:szCs w:val="20"/>
        </w:rPr>
        <w:t xml:space="preserve">2. </w:t>
      </w:r>
      <w:proofErr w:type="spellStart"/>
      <w:r w:rsidRPr="00AF78B1">
        <w:rPr>
          <w:rFonts w:ascii="Arial" w:hAnsi="Arial" w:cs="Arial"/>
          <w:sz w:val="20"/>
          <w:szCs w:val="20"/>
        </w:rPr>
        <w:t>Lauten</w:t>
      </w:r>
      <w:proofErr w:type="spellEnd"/>
      <w:r w:rsidRPr="00AF78B1">
        <w:rPr>
          <w:rFonts w:ascii="Arial" w:hAnsi="Arial" w:cs="Arial"/>
          <w:sz w:val="20"/>
          <w:szCs w:val="20"/>
        </w:rPr>
        <w:t xml:space="preserve"> M, Vieth S, Hart C, </w:t>
      </w:r>
      <w:proofErr w:type="spellStart"/>
      <w:r w:rsidRPr="00AF78B1">
        <w:rPr>
          <w:rFonts w:ascii="Arial" w:hAnsi="Arial" w:cs="Arial"/>
          <w:sz w:val="20"/>
          <w:szCs w:val="20"/>
        </w:rPr>
        <w:t>Wössmann</w:t>
      </w:r>
      <w:proofErr w:type="spellEnd"/>
      <w:r w:rsidRPr="00AF78B1">
        <w:rPr>
          <w:rFonts w:ascii="Arial" w:hAnsi="Arial" w:cs="Arial"/>
          <w:sz w:val="20"/>
          <w:szCs w:val="20"/>
        </w:rPr>
        <w:t xml:space="preserve"> W, </w:t>
      </w:r>
      <w:proofErr w:type="spellStart"/>
      <w:r w:rsidRPr="00AF78B1">
        <w:rPr>
          <w:rFonts w:ascii="Arial" w:hAnsi="Arial" w:cs="Arial"/>
          <w:sz w:val="20"/>
          <w:szCs w:val="20"/>
        </w:rPr>
        <w:t>Tröger</w:t>
      </w:r>
      <w:proofErr w:type="spellEnd"/>
      <w:r w:rsidRPr="00AF78B1">
        <w:rPr>
          <w:rFonts w:ascii="Arial" w:hAnsi="Arial" w:cs="Arial"/>
          <w:sz w:val="20"/>
          <w:szCs w:val="20"/>
        </w:rPr>
        <w:t xml:space="preserve"> B, </w:t>
      </w:r>
      <w:proofErr w:type="spellStart"/>
      <w:r w:rsidRPr="00AF78B1">
        <w:rPr>
          <w:rFonts w:ascii="Arial" w:hAnsi="Arial" w:cs="Arial"/>
          <w:sz w:val="20"/>
          <w:szCs w:val="20"/>
        </w:rPr>
        <w:t>Härtel</w:t>
      </w:r>
      <w:proofErr w:type="spellEnd"/>
      <w:r w:rsidRPr="00AF78B1">
        <w:rPr>
          <w:rFonts w:ascii="Arial" w:hAnsi="Arial" w:cs="Arial"/>
          <w:sz w:val="20"/>
          <w:szCs w:val="20"/>
        </w:rPr>
        <w:t xml:space="preserve"> C, </w:t>
      </w:r>
      <w:proofErr w:type="spellStart"/>
      <w:r w:rsidRPr="00AF78B1">
        <w:rPr>
          <w:rFonts w:ascii="Arial" w:hAnsi="Arial" w:cs="Arial"/>
          <w:sz w:val="20"/>
          <w:szCs w:val="20"/>
        </w:rPr>
        <w:t>Bethge</w:t>
      </w:r>
      <w:proofErr w:type="spellEnd"/>
      <w:r w:rsidRPr="00AF78B1">
        <w:rPr>
          <w:rFonts w:ascii="Arial" w:hAnsi="Arial" w:cs="Arial"/>
          <w:sz w:val="20"/>
          <w:szCs w:val="20"/>
        </w:rPr>
        <w:t xml:space="preserve"> M, </w:t>
      </w:r>
      <w:proofErr w:type="spellStart"/>
      <w:r w:rsidRPr="00AF78B1">
        <w:rPr>
          <w:rFonts w:ascii="Arial" w:hAnsi="Arial" w:cs="Arial"/>
          <w:sz w:val="20"/>
          <w:szCs w:val="20"/>
        </w:rPr>
        <w:t>Schrauder</w:t>
      </w:r>
      <w:proofErr w:type="spellEnd"/>
      <w:r w:rsidRPr="00AF78B1">
        <w:rPr>
          <w:rFonts w:ascii="Arial" w:hAnsi="Arial" w:cs="Arial"/>
          <w:sz w:val="20"/>
          <w:szCs w:val="20"/>
        </w:rPr>
        <w:t xml:space="preserve"> A, </w:t>
      </w:r>
      <w:proofErr w:type="spellStart"/>
      <w:r w:rsidRPr="00AF78B1">
        <w:rPr>
          <w:rFonts w:ascii="Arial" w:hAnsi="Arial" w:cs="Arial"/>
          <w:sz w:val="20"/>
          <w:szCs w:val="20"/>
        </w:rPr>
        <w:t>Cario</w:t>
      </w:r>
      <w:proofErr w:type="spellEnd"/>
      <w:r w:rsidRPr="00AF78B1">
        <w:rPr>
          <w:rFonts w:ascii="Arial" w:hAnsi="Arial" w:cs="Arial"/>
          <w:sz w:val="20"/>
          <w:szCs w:val="20"/>
        </w:rPr>
        <w:t xml:space="preserve"> G. </w:t>
      </w:r>
      <w:hyperlink r:id="rId22" w:history="1">
        <w:r w:rsidRPr="00AF78B1">
          <w:rPr>
            <w:rFonts w:ascii="Arial" w:hAnsi="Arial" w:cs="Arial"/>
            <w:sz w:val="20"/>
            <w:szCs w:val="20"/>
          </w:rPr>
          <w:t>Cardiac anaplastic large cell lymphoma in an 8-year old boy.</w:t>
        </w:r>
      </w:hyperlink>
      <w:r w:rsidRPr="00AF78B1">
        <w:rPr>
          <w:rFonts w:ascii="Arial" w:hAnsi="Arial" w:cs="Arial"/>
          <w:sz w:val="20"/>
          <w:szCs w:val="20"/>
        </w:rPr>
        <w:t> </w:t>
      </w:r>
      <w:proofErr w:type="spellStart"/>
      <w:r w:rsidRPr="00AF78B1">
        <w:rPr>
          <w:rFonts w:ascii="Arial" w:hAnsi="Arial" w:cs="Arial"/>
          <w:sz w:val="20"/>
          <w:szCs w:val="20"/>
        </w:rPr>
        <w:t>Leuk</w:t>
      </w:r>
      <w:proofErr w:type="spellEnd"/>
      <w:r w:rsidRPr="00AF78B1">
        <w:rPr>
          <w:rFonts w:ascii="Arial" w:hAnsi="Arial" w:cs="Arial"/>
          <w:sz w:val="20"/>
          <w:szCs w:val="20"/>
        </w:rPr>
        <w:t xml:space="preserve"> Res Rep. 2014 May 15</w:t>
      </w:r>
      <w:proofErr w:type="gramStart"/>
      <w:r w:rsidRPr="00AF78B1">
        <w:rPr>
          <w:rFonts w:ascii="Arial" w:hAnsi="Arial" w:cs="Arial"/>
          <w:sz w:val="20"/>
          <w:szCs w:val="20"/>
        </w:rPr>
        <w:t>;3</w:t>
      </w:r>
      <w:proofErr w:type="gramEnd"/>
      <w:r w:rsidRPr="00AF78B1">
        <w:rPr>
          <w:rFonts w:ascii="Arial" w:hAnsi="Arial" w:cs="Arial"/>
          <w:sz w:val="20"/>
          <w:szCs w:val="20"/>
        </w:rPr>
        <w:t xml:space="preserve">(2):36-7. </w:t>
      </w:r>
      <w:proofErr w:type="spellStart"/>
      <w:proofErr w:type="gramStart"/>
      <w:r w:rsidRPr="00AF78B1">
        <w:rPr>
          <w:rFonts w:ascii="Arial" w:hAnsi="Arial" w:cs="Arial"/>
          <w:sz w:val="20"/>
          <w:szCs w:val="20"/>
        </w:rPr>
        <w:t>doi</w:t>
      </w:r>
      <w:proofErr w:type="spellEnd"/>
      <w:proofErr w:type="gramEnd"/>
      <w:r w:rsidRPr="00AF78B1">
        <w:rPr>
          <w:rFonts w:ascii="Arial" w:hAnsi="Arial" w:cs="Arial"/>
          <w:sz w:val="20"/>
          <w:szCs w:val="20"/>
        </w:rPr>
        <w:t xml:space="preserve">: 10.1016/j.lrr.2014.05.001. </w:t>
      </w:r>
      <w:proofErr w:type="spellStart"/>
      <w:proofErr w:type="gramStart"/>
      <w:r w:rsidRPr="00AF78B1">
        <w:rPr>
          <w:rFonts w:ascii="Arial" w:hAnsi="Arial" w:cs="Arial"/>
          <w:sz w:val="20"/>
          <w:szCs w:val="20"/>
        </w:rPr>
        <w:t>eCollection</w:t>
      </w:r>
      <w:proofErr w:type="spellEnd"/>
      <w:proofErr w:type="gramEnd"/>
      <w:r w:rsidRPr="00AF78B1">
        <w:rPr>
          <w:rFonts w:ascii="Arial" w:hAnsi="Arial" w:cs="Arial"/>
          <w:sz w:val="20"/>
          <w:szCs w:val="20"/>
        </w:rPr>
        <w:t xml:space="preserve"> 2014. </w:t>
      </w:r>
    </w:p>
    <w:p w:rsidR="00CC4442" w:rsidRPr="00AF78B1" w:rsidRDefault="00CC4442" w:rsidP="00CC4442">
      <w:pPr>
        <w:ind w:right="-630"/>
        <w:rPr>
          <w:rFonts w:ascii="Arial" w:hAnsi="Arial" w:cs="Arial"/>
          <w:sz w:val="20"/>
          <w:szCs w:val="20"/>
        </w:rPr>
      </w:pPr>
      <w:r w:rsidRPr="00AF78B1">
        <w:rPr>
          <w:rFonts w:ascii="Arial" w:hAnsi="Arial" w:cs="Arial"/>
          <w:sz w:val="20"/>
          <w:szCs w:val="20"/>
        </w:rPr>
        <w:t xml:space="preserve">3. </w:t>
      </w:r>
      <w:proofErr w:type="spellStart"/>
      <w:r w:rsidRPr="00AF78B1">
        <w:rPr>
          <w:rFonts w:ascii="Arial" w:hAnsi="Arial" w:cs="Arial"/>
          <w:sz w:val="20"/>
          <w:szCs w:val="20"/>
        </w:rPr>
        <w:t>Pankuweit</w:t>
      </w:r>
      <w:proofErr w:type="spellEnd"/>
      <w:r w:rsidRPr="00AF78B1">
        <w:rPr>
          <w:rFonts w:ascii="Arial" w:hAnsi="Arial" w:cs="Arial"/>
          <w:sz w:val="20"/>
          <w:szCs w:val="20"/>
        </w:rPr>
        <w:t xml:space="preserve"> S, </w:t>
      </w:r>
      <w:proofErr w:type="spellStart"/>
      <w:r w:rsidRPr="00AF78B1">
        <w:rPr>
          <w:rFonts w:ascii="Arial" w:hAnsi="Arial" w:cs="Arial"/>
          <w:sz w:val="20"/>
          <w:szCs w:val="20"/>
        </w:rPr>
        <w:t>Maisch</w:t>
      </w:r>
      <w:proofErr w:type="spellEnd"/>
      <w:r w:rsidRPr="00AF78B1">
        <w:rPr>
          <w:rFonts w:ascii="Arial" w:hAnsi="Arial" w:cs="Arial"/>
          <w:sz w:val="20"/>
          <w:szCs w:val="20"/>
        </w:rPr>
        <w:t xml:space="preserve"> B. </w:t>
      </w:r>
      <w:hyperlink r:id="rId23" w:history="1">
        <w:r w:rsidRPr="00AF78B1">
          <w:rPr>
            <w:rFonts w:ascii="Arial" w:hAnsi="Arial" w:cs="Arial"/>
            <w:sz w:val="20"/>
            <w:szCs w:val="20"/>
          </w:rPr>
          <w:t xml:space="preserve">[Etiology, diagnosis, management, and treatment of myocarditis. </w:t>
        </w:r>
        <w:proofErr w:type="gramStart"/>
        <w:r w:rsidRPr="00AF78B1">
          <w:rPr>
            <w:rFonts w:ascii="Arial" w:hAnsi="Arial" w:cs="Arial"/>
            <w:sz w:val="20"/>
            <w:szCs w:val="20"/>
          </w:rPr>
          <w:t>Position paper from the ESC Working Group on Myocardial and Pericardial Diseases].</w:t>
        </w:r>
        <w:proofErr w:type="gramEnd"/>
      </w:hyperlink>
      <w:r w:rsidRPr="00AF78B1">
        <w:rPr>
          <w:rFonts w:ascii="Arial" w:hAnsi="Arial" w:cs="Arial"/>
          <w:sz w:val="20"/>
          <w:szCs w:val="20"/>
        </w:rPr>
        <w:t> </w:t>
      </w:r>
      <w:proofErr w:type="gramStart"/>
      <w:r w:rsidRPr="00AF78B1">
        <w:rPr>
          <w:rFonts w:ascii="Arial" w:hAnsi="Arial" w:cs="Arial"/>
          <w:sz w:val="20"/>
          <w:szCs w:val="20"/>
        </w:rPr>
        <w:t>Herz.</w:t>
      </w:r>
      <w:proofErr w:type="gramEnd"/>
      <w:r w:rsidRPr="00AF78B1">
        <w:rPr>
          <w:rFonts w:ascii="Arial" w:hAnsi="Arial" w:cs="Arial"/>
          <w:sz w:val="20"/>
          <w:szCs w:val="20"/>
        </w:rPr>
        <w:t xml:space="preserve"> 2013 Dec</w:t>
      </w:r>
      <w:proofErr w:type="gramStart"/>
      <w:r w:rsidRPr="00AF78B1">
        <w:rPr>
          <w:rFonts w:ascii="Arial" w:hAnsi="Arial" w:cs="Arial"/>
          <w:sz w:val="20"/>
          <w:szCs w:val="20"/>
        </w:rPr>
        <w:t>;38</w:t>
      </w:r>
      <w:proofErr w:type="gramEnd"/>
      <w:r w:rsidRPr="00AF78B1">
        <w:rPr>
          <w:rFonts w:ascii="Arial" w:hAnsi="Arial" w:cs="Arial"/>
          <w:sz w:val="20"/>
          <w:szCs w:val="20"/>
        </w:rPr>
        <w:t xml:space="preserve">(8):855-61. </w:t>
      </w:r>
      <w:proofErr w:type="spellStart"/>
      <w:proofErr w:type="gramStart"/>
      <w:r w:rsidRPr="00AF78B1">
        <w:rPr>
          <w:rFonts w:ascii="Arial" w:hAnsi="Arial" w:cs="Arial"/>
          <w:sz w:val="20"/>
          <w:szCs w:val="20"/>
        </w:rPr>
        <w:t>doi</w:t>
      </w:r>
      <w:proofErr w:type="spellEnd"/>
      <w:proofErr w:type="gramEnd"/>
      <w:r w:rsidRPr="00AF78B1">
        <w:rPr>
          <w:rFonts w:ascii="Arial" w:hAnsi="Arial" w:cs="Arial"/>
          <w:sz w:val="20"/>
          <w:szCs w:val="20"/>
        </w:rPr>
        <w:t xml:space="preserve">: 10.1007/s00059-013-3988-7. </w:t>
      </w:r>
      <w:proofErr w:type="gramStart"/>
      <w:r w:rsidRPr="00AF78B1">
        <w:rPr>
          <w:rFonts w:ascii="Arial" w:hAnsi="Arial" w:cs="Arial"/>
          <w:sz w:val="20"/>
          <w:szCs w:val="20"/>
        </w:rPr>
        <w:t>German.</w:t>
      </w:r>
      <w:proofErr w:type="gramEnd"/>
      <w:r w:rsidRPr="00AF78B1">
        <w:rPr>
          <w:rFonts w:ascii="Arial" w:hAnsi="Arial" w:cs="Arial"/>
          <w:sz w:val="20"/>
          <w:szCs w:val="20"/>
        </w:rPr>
        <w:t xml:space="preserve"> </w:t>
      </w:r>
    </w:p>
    <w:p w:rsidR="00CC4442" w:rsidRPr="00AF78B1" w:rsidRDefault="00CC4442" w:rsidP="00CC4442">
      <w:pPr>
        <w:ind w:right="-630"/>
        <w:rPr>
          <w:rFonts w:ascii="Arial" w:hAnsi="Arial" w:cs="Arial"/>
          <w:sz w:val="20"/>
          <w:szCs w:val="20"/>
        </w:rPr>
      </w:pPr>
      <w:r w:rsidRPr="00AF78B1">
        <w:rPr>
          <w:rFonts w:ascii="Arial" w:hAnsi="Arial" w:cs="Arial"/>
          <w:sz w:val="20"/>
          <w:szCs w:val="20"/>
        </w:rPr>
        <w:t xml:space="preserve">4. </w:t>
      </w:r>
      <w:proofErr w:type="spellStart"/>
      <w:r w:rsidRPr="00AF78B1">
        <w:rPr>
          <w:rFonts w:ascii="Arial" w:hAnsi="Arial" w:cs="Arial"/>
          <w:sz w:val="20"/>
          <w:szCs w:val="20"/>
        </w:rPr>
        <w:t>Caforio</w:t>
      </w:r>
      <w:proofErr w:type="spellEnd"/>
      <w:r w:rsidRPr="00AF78B1">
        <w:rPr>
          <w:rFonts w:ascii="Arial" w:hAnsi="Arial" w:cs="Arial"/>
          <w:sz w:val="20"/>
          <w:szCs w:val="20"/>
        </w:rPr>
        <w:t xml:space="preserve"> AL, </w:t>
      </w:r>
      <w:proofErr w:type="spellStart"/>
      <w:r w:rsidRPr="00AF78B1">
        <w:rPr>
          <w:rFonts w:ascii="Arial" w:hAnsi="Arial" w:cs="Arial"/>
          <w:sz w:val="20"/>
          <w:szCs w:val="20"/>
        </w:rPr>
        <w:t>Pankuweit</w:t>
      </w:r>
      <w:proofErr w:type="spellEnd"/>
      <w:r w:rsidRPr="00AF78B1">
        <w:rPr>
          <w:rFonts w:ascii="Arial" w:hAnsi="Arial" w:cs="Arial"/>
          <w:sz w:val="20"/>
          <w:szCs w:val="20"/>
        </w:rPr>
        <w:t xml:space="preserve"> S, </w:t>
      </w:r>
      <w:proofErr w:type="spellStart"/>
      <w:r w:rsidRPr="00AF78B1">
        <w:rPr>
          <w:rFonts w:ascii="Arial" w:hAnsi="Arial" w:cs="Arial"/>
          <w:sz w:val="20"/>
          <w:szCs w:val="20"/>
        </w:rPr>
        <w:t>Arbustini</w:t>
      </w:r>
      <w:proofErr w:type="spellEnd"/>
      <w:r w:rsidRPr="00AF78B1">
        <w:rPr>
          <w:rFonts w:ascii="Arial" w:hAnsi="Arial" w:cs="Arial"/>
          <w:sz w:val="20"/>
          <w:szCs w:val="20"/>
        </w:rPr>
        <w:t xml:space="preserve"> E, Basso C, </w:t>
      </w:r>
      <w:proofErr w:type="spellStart"/>
      <w:r w:rsidRPr="00AF78B1">
        <w:rPr>
          <w:rFonts w:ascii="Arial" w:hAnsi="Arial" w:cs="Arial"/>
          <w:sz w:val="20"/>
          <w:szCs w:val="20"/>
        </w:rPr>
        <w:t>Gimeno-Blanes</w:t>
      </w:r>
      <w:proofErr w:type="spellEnd"/>
      <w:r w:rsidRPr="00AF78B1">
        <w:rPr>
          <w:rFonts w:ascii="Arial" w:hAnsi="Arial" w:cs="Arial"/>
          <w:sz w:val="20"/>
          <w:szCs w:val="20"/>
        </w:rPr>
        <w:t xml:space="preserve"> J, Felix SB, Fu M, </w:t>
      </w:r>
      <w:proofErr w:type="spellStart"/>
      <w:r w:rsidRPr="00AF78B1">
        <w:rPr>
          <w:rFonts w:ascii="Arial" w:hAnsi="Arial" w:cs="Arial"/>
          <w:sz w:val="20"/>
          <w:szCs w:val="20"/>
        </w:rPr>
        <w:t>Heliö</w:t>
      </w:r>
      <w:proofErr w:type="spellEnd"/>
      <w:r w:rsidRPr="00AF78B1">
        <w:rPr>
          <w:rFonts w:ascii="Arial" w:hAnsi="Arial" w:cs="Arial"/>
          <w:sz w:val="20"/>
          <w:szCs w:val="20"/>
        </w:rPr>
        <w:t xml:space="preserve"> T, Heymans S, </w:t>
      </w:r>
      <w:proofErr w:type="spellStart"/>
      <w:r w:rsidRPr="00AF78B1">
        <w:rPr>
          <w:rFonts w:ascii="Arial" w:hAnsi="Arial" w:cs="Arial"/>
          <w:sz w:val="20"/>
          <w:szCs w:val="20"/>
        </w:rPr>
        <w:t>Jahns</w:t>
      </w:r>
      <w:proofErr w:type="spellEnd"/>
      <w:r w:rsidRPr="00AF78B1">
        <w:rPr>
          <w:rFonts w:ascii="Arial" w:hAnsi="Arial" w:cs="Arial"/>
          <w:sz w:val="20"/>
          <w:szCs w:val="20"/>
        </w:rPr>
        <w:t xml:space="preserve"> R, </w:t>
      </w:r>
      <w:proofErr w:type="spellStart"/>
      <w:r w:rsidRPr="00AF78B1">
        <w:rPr>
          <w:rFonts w:ascii="Arial" w:hAnsi="Arial" w:cs="Arial"/>
          <w:sz w:val="20"/>
          <w:szCs w:val="20"/>
        </w:rPr>
        <w:t>Klingel</w:t>
      </w:r>
      <w:proofErr w:type="spellEnd"/>
      <w:r w:rsidRPr="00AF78B1">
        <w:rPr>
          <w:rFonts w:ascii="Arial" w:hAnsi="Arial" w:cs="Arial"/>
          <w:sz w:val="20"/>
          <w:szCs w:val="20"/>
        </w:rPr>
        <w:t xml:space="preserve"> K, </w:t>
      </w:r>
      <w:proofErr w:type="spellStart"/>
      <w:r w:rsidRPr="00AF78B1">
        <w:rPr>
          <w:rFonts w:ascii="Arial" w:hAnsi="Arial" w:cs="Arial"/>
          <w:sz w:val="20"/>
          <w:szCs w:val="20"/>
        </w:rPr>
        <w:t>Linhart</w:t>
      </w:r>
      <w:proofErr w:type="spellEnd"/>
      <w:r w:rsidRPr="00AF78B1">
        <w:rPr>
          <w:rFonts w:ascii="Arial" w:hAnsi="Arial" w:cs="Arial"/>
          <w:sz w:val="20"/>
          <w:szCs w:val="20"/>
        </w:rPr>
        <w:t xml:space="preserve"> A, </w:t>
      </w:r>
      <w:proofErr w:type="spellStart"/>
      <w:r w:rsidRPr="00AF78B1">
        <w:rPr>
          <w:rFonts w:ascii="Arial" w:hAnsi="Arial" w:cs="Arial"/>
          <w:sz w:val="20"/>
          <w:szCs w:val="20"/>
        </w:rPr>
        <w:t>Maisch</w:t>
      </w:r>
      <w:proofErr w:type="spellEnd"/>
      <w:r w:rsidRPr="00AF78B1">
        <w:rPr>
          <w:rFonts w:ascii="Arial" w:hAnsi="Arial" w:cs="Arial"/>
          <w:sz w:val="20"/>
          <w:szCs w:val="20"/>
        </w:rPr>
        <w:t xml:space="preserve"> B, McKenna W, Mogensen J, Pinto YM, </w:t>
      </w:r>
      <w:proofErr w:type="spellStart"/>
      <w:r w:rsidRPr="00AF78B1">
        <w:rPr>
          <w:rFonts w:ascii="Arial" w:hAnsi="Arial" w:cs="Arial"/>
          <w:sz w:val="20"/>
          <w:szCs w:val="20"/>
        </w:rPr>
        <w:t>Ristic</w:t>
      </w:r>
      <w:proofErr w:type="spellEnd"/>
      <w:r w:rsidRPr="00AF78B1">
        <w:rPr>
          <w:rFonts w:ascii="Arial" w:hAnsi="Arial" w:cs="Arial"/>
          <w:sz w:val="20"/>
          <w:szCs w:val="20"/>
        </w:rPr>
        <w:t xml:space="preserve"> A, </w:t>
      </w:r>
      <w:proofErr w:type="spellStart"/>
      <w:r w:rsidRPr="00AF78B1">
        <w:rPr>
          <w:rFonts w:ascii="Arial" w:hAnsi="Arial" w:cs="Arial"/>
          <w:sz w:val="20"/>
          <w:szCs w:val="20"/>
        </w:rPr>
        <w:t>Schultheiss</w:t>
      </w:r>
      <w:proofErr w:type="spellEnd"/>
      <w:r w:rsidRPr="00AF78B1">
        <w:rPr>
          <w:rFonts w:ascii="Arial" w:hAnsi="Arial" w:cs="Arial"/>
          <w:sz w:val="20"/>
          <w:szCs w:val="20"/>
        </w:rPr>
        <w:t xml:space="preserve"> HP, </w:t>
      </w:r>
      <w:proofErr w:type="spellStart"/>
      <w:r w:rsidRPr="00AF78B1">
        <w:rPr>
          <w:rFonts w:ascii="Arial" w:hAnsi="Arial" w:cs="Arial"/>
          <w:sz w:val="20"/>
          <w:szCs w:val="20"/>
        </w:rPr>
        <w:t>Seggewiss</w:t>
      </w:r>
      <w:proofErr w:type="spellEnd"/>
      <w:r w:rsidRPr="00AF78B1">
        <w:rPr>
          <w:rFonts w:ascii="Arial" w:hAnsi="Arial" w:cs="Arial"/>
          <w:sz w:val="20"/>
          <w:szCs w:val="20"/>
        </w:rPr>
        <w:t xml:space="preserve"> H, </w:t>
      </w:r>
      <w:proofErr w:type="spellStart"/>
      <w:r w:rsidRPr="00AF78B1">
        <w:rPr>
          <w:rFonts w:ascii="Arial" w:hAnsi="Arial" w:cs="Arial"/>
          <w:sz w:val="20"/>
          <w:szCs w:val="20"/>
        </w:rPr>
        <w:t>Tavazzi</w:t>
      </w:r>
      <w:proofErr w:type="spellEnd"/>
      <w:r w:rsidRPr="00AF78B1">
        <w:rPr>
          <w:rFonts w:ascii="Arial" w:hAnsi="Arial" w:cs="Arial"/>
          <w:sz w:val="20"/>
          <w:szCs w:val="20"/>
        </w:rPr>
        <w:t xml:space="preserve"> L, </w:t>
      </w:r>
      <w:proofErr w:type="spellStart"/>
      <w:r w:rsidRPr="00AF78B1">
        <w:rPr>
          <w:rFonts w:ascii="Arial" w:hAnsi="Arial" w:cs="Arial"/>
          <w:sz w:val="20"/>
          <w:szCs w:val="20"/>
        </w:rPr>
        <w:t>Thiene</w:t>
      </w:r>
      <w:proofErr w:type="spellEnd"/>
      <w:r w:rsidRPr="00AF78B1">
        <w:rPr>
          <w:rFonts w:ascii="Arial" w:hAnsi="Arial" w:cs="Arial"/>
          <w:sz w:val="20"/>
          <w:szCs w:val="20"/>
        </w:rPr>
        <w:t xml:space="preserve"> G, </w:t>
      </w:r>
      <w:proofErr w:type="spellStart"/>
      <w:r w:rsidRPr="00AF78B1">
        <w:rPr>
          <w:rFonts w:ascii="Arial" w:hAnsi="Arial" w:cs="Arial"/>
          <w:sz w:val="20"/>
          <w:szCs w:val="20"/>
        </w:rPr>
        <w:t>Yilmaz</w:t>
      </w:r>
      <w:proofErr w:type="spellEnd"/>
      <w:r w:rsidRPr="00AF78B1">
        <w:rPr>
          <w:rFonts w:ascii="Arial" w:hAnsi="Arial" w:cs="Arial"/>
          <w:sz w:val="20"/>
          <w:szCs w:val="20"/>
        </w:rPr>
        <w:t xml:space="preserve"> A, </w:t>
      </w:r>
      <w:proofErr w:type="spellStart"/>
      <w:r w:rsidRPr="00AF78B1">
        <w:rPr>
          <w:rFonts w:ascii="Arial" w:hAnsi="Arial" w:cs="Arial"/>
          <w:sz w:val="20"/>
          <w:szCs w:val="20"/>
        </w:rPr>
        <w:t>Charron</w:t>
      </w:r>
      <w:proofErr w:type="spellEnd"/>
      <w:r w:rsidRPr="00AF78B1">
        <w:rPr>
          <w:rFonts w:ascii="Arial" w:hAnsi="Arial" w:cs="Arial"/>
          <w:sz w:val="20"/>
          <w:szCs w:val="20"/>
        </w:rPr>
        <w:t xml:space="preserve"> P, Elliott PM; European Society of Cardiology Working Group on Myocardial and Pericardial Diseases. </w:t>
      </w:r>
      <w:hyperlink r:id="rId24" w:history="1">
        <w:r w:rsidRPr="00AF78B1">
          <w:rPr>
            <w:rFonts w:ascii="Arial" w:hAnsi="Arial" w:cs="Arial"/>
            <w:sz w:val="20"/>
            <w:szCs w:val="20"/>
          </w:rPr>
          <w:t xml:space="preserve">Current state of knowledge on </w:t>
        </w:r>
        <w:proofErr w:type="spellStart"/>
        <w:r w:rsidRPr="00AF78B1">
          <w:rPr>
            <w:rFonts w:ascii="Arial" w:hAnsi="Arial" w:cs="Arial"/>
            <w:sz w:val="20"/>
            <w:szCs w:val="20"/>
          </w:rPr>
          <w:t>aetiology</w:t>
        </w:r>
        <w:proofErr w:type="spellEnd"/>
        <w:r w:rsidRPr="00AF78B1">
          <w:rPr>
            <w:rFonts w:ascii="Arial" w:hAnsi="Arial" w:cs="Arial"/>
            <w:sz w:val="20"/>
            <w:szCs w:val="20"/>
          </w:rPr>
          <w:t>, diagnosis, management, and therapy of myocarditis: a position statement of the European Society of Cardiology Working Group on Myocardial and Pericardial Diseases.</w:t>
        </w:r>
      </w:hyperlink>
      <w:r w:rsidRPr="00AF78B1">
        <w:rPr>
          <w:rFonts w:ascii="Arial" w:hAnsi="Arial" w:cs="Arial"/>
          <w:sz w:val="20"/>
          <w:szCs w:val="20"/>
        </w:rPr>
        <w:t> </w:t>
      </w:r>
      <w:proofErr w:type="spellStart"/>
      <w:r w:rsidRPr="00AF78B1">
        <w:rPr>
          <w:rFonts w:ascii="Arial" w:hAnsi="Arial" w:cs="Arial"/>
          <w:sz w:val="20"/>
          <w:szCs w:val="20"/>
        </w:rPr>
        <w:t>Eur</w:t>
      </w:r>
      <w:proofErr w:type="spellEnd"/>
      <w:r w:rsidRPr="00AF78B1">
        <w:rPr>
          <w:rFonts w:ascii="Arial" w:hAnsi="Arial" w:cs="Arial"/>
          <w:sz w:val="20"/>
          <w:szCs w:val="20"/>
        </w:rPr>
        <w:t xml:space="preserve"> Heart J. 2013 Sep</w:t>
      </w:r>
      <w:proofErr w:type="gramStart"/>
      <w:r w:rsidRPr="00AF78B1">
        <w:rPr>
          <w:rFonts w:ascii="Arial" w:hAnsi="Arial" w:cs="Arial"/>
          <w:sz w:val="20"/>
          <w:szCs w:val="20"/>
        </w:rPr>
        <w:t>;34</w:t>
      </w:r>
      <w:proofErr w:type="gramEnd"/>
      <w:r w:rsidRPr="00AF78B1">
        <w:rPr>
          <w:rFonts w:ascii="Arial" w:hAnsi="Arial" w:cs="Arial"/>
          <w:sz w:val="20"/>
          <w:szCs w:val="20"/>
        </w:rPr>
        <w:t xml:space="preserve">(33):2636-48, 2648a-2648d. </w:t>
      </w:r>
      <w:proofErr w:type="spellStart"/>
      <w:proofErr w:type="gramStart"/>
      <w:r w:rsidRPr="00AF78B1">
        <w:rPr>
          <w:rFonts w:ascii="Arial" w:hAnsi="Arial" w:cs="Arial"/>
          <w:sz w:val="20"/>
          <w:szCs w:val="20"/>
        </w:rPr>
        <w:t>doi</w:t>
      </w:r>
      <w:proofErr w:type="spellEnd"/>
      <w:proofErr w:type="gramEnd"/>
      <w:r w:rsidRPr="00AF78B1">
        <w:rPr>
          <w:rFonts w:ascii="Arial" w:hAnsi="Arial" w:cs="Arial"/>
          <w:sz w:val="20"/>
          <w:szCs w:val="20"/>
        </w:rPr>
        <w:t>: 10.1093/</w:t>
      </w:r>
      <w:proofErr w:type="spellStart"/>
      <w:r w:rsidRPr="00AF78B1">
        <w:rPr>
          <w:rFonts w:ascii="Arial" w:hAnsi="Arial" w:cs="Arial"/>
          <w:sz w:val="20"/>
          <w:szCs w:val="20"/>
        </w:rPr>
        <w:t>eurheartj</w:t>
      </w:r>
      <w:proofErr w:type="spellEnd"/>
      <w:r w:rsidRPr="00AF78B1">
        <w:rPr>
          <w:rFonts w:ascii="Arial" w:hAnsi="Arial" w:cs="Arial"/>
          <w:sz w:val="20"/>
          <w:szCs w:val="20"/>
        </w:rPr>
        <w:t xml:space="preserve">/eht210. </w:t>
      </w:r>
      <w:proofErr w:type="spellStart"/>
      <w:r w:rsidRPr="00AF78B1">
        <w:rPr>
          <w:rFonts w:ascii="Arial" w:hAnsi="Arial" w:cs="Arial"/>
          <w:sz w:val="20"/>
          <w:szCs w:val="20"/>
        </w:rPr>
        <w:t>Epub</w:t>
      </w:r>
      <w:proofErr w:type="spellEnd"/>
      <w:r w:rsidRPr="00AF78B1">
        <w:rPr>
          <w:rFonts w:ascii="Arial" w:hAnsi="Arial" w:cs="Arial"/>
          <w:sz w:val="20"/>
          <w:szCs w:val="20"/>
        </w:rPr>
        <w:t xml:space="preserve"> 2013 Jul 3.  </w:t>
      </w:r>
    </w:p>
    <w:p w:rsidR="00CC4442" w:rsidRPr="00CC4442" w:rsidRDefault="00CC4442" w:rsidP="00CC4442">
      <w:pPr>
        <w:ind w:right="-630"/>
        <w:rPr>
          <w:rFonts w:ascii="Arial" w:hAnsi="Arial" w:cs="Arial"/>
          <w:sz w:val="20"/>
          <w:szCs w:val="20"/>
        </w:rPr>
      </w:pPr>
      <w:r w:rsidRPr="00AF78B1">
        <w:rPr>
          <w:rFonts w:ascii="Arial" w:hAnsi="Arial" w:cs="Arial"/>
          <w:sz w:val="20"/>
          <w:szCs w:val="20"/>
        </w:rPr>
        <w:t xml:space="preserve">5. </w:t>
      </w:r>
      <w:proofErr w:type="spellStart"/>
      <w:r w:rsidRPr="00AF78B1">
        <w:rPr>
          <w:rFonts w:ascii="Arial" w:hAnsi="Arial" w:cs="Arial"/>
          <w:sz w:val="20"/>
          <w:szCs w:val="20"/>
        </w:rPr>
        <w:t>Petrich</w:t>
      </w:r>
      <w:proofErr w:type="spellEnd"/>
      <w:r w:rsidRPr="00AF78B1">
        <w:rPr>
          <w:rFonts w:ascii="Arial" w:hAnsi="Arial" w:cs="Arial"/>
          <w:sz w:val="20"/>
          <w:szCs w:val="20"/>
        </w:rPr>
        <w:t xml:space="preserve"> A, Cho SI, </w:t>
      </w:r>
      <w:proofErr w:type="spellStart"/>
      <w:r w:rsidRPr="00AF78B1">
        <w:rPr>
          <w:rFonts w:ascii="Arial" w:hAnsi="Arial" w:cs="Arial"/>
          <w:sz w:val="20"/>
          <w:szCs w:val="20"/>
        </w:rPr>
        <w:t>Billett</w:t>
      </w:r>
      <w:proofErr w:type="spellEnd"/>
      <w:r w:rsidRPr="00AF78B1">
        <w:rPr>
          <w:rFonts w:ascii="Arial" w:hAnsi="Arial" w:cs="Arial"/>
          <w:sz w:val="20"/>
          <w:szCs w:val="20"/>
        </w:rPr>
        <w:t xml:space="preserve"> H. Primary cardiac lymphoma: an analysis of presentation, treatment, and outcome patterns. </w:t>
      </w:r>
      <w:proofErr w:type="gramStart"/>
      <w:r w:rsidRPr="00AF78B1">
        <w:rPr>
          <w:rFonts w:ascii="Arial" w:hAnsi="Arial" w:cs="Arial"/>
          <w:sz w:val="20"/>
          <w:szCs w:val="20"/>
        </w:rPr>
        <w:t>Cancer.</w:t>
      </w:r>
      <w:proofErr w:type="gramEnd"/>
      <w:r w:rsidRPr="00AF78B1">
        <w:rPr>
          <w:rFonts w:ascii="Arial" w:hAnsi="Arial" w:cs="Arial"/>
          <w:sz w:val="20"/>
          <w:szCs w:val="20"/>
        </w:rPr>
        <w:t xml:space="preserve"> 2011 Feb 1</w:t>
      </w:r>
      <w:proofErr w:type="gramStart"/>
      <w:r w:rsidRPr="00AF78B1">
        <w:rPr>
          <w:rFonts w:ascii="Arial" w:hAnsi="Arial" w:cs="Arial"/>
          <w:sz w:val="20"/>
          <w:szCs w:val="20"/>
        </w:rPr>
        <w:t>;117</w:t>
      </w:r>
      <w:proofErr w:type="gramEnd"/>
      <w:r w:rsidRPr="00AF78B1">
        <w:rPr>
          <w:rFonts w:ascii="Arial" w:hAnsi="Arial" w:cs="Arial"/>
          <w:sz w:val="20"/>
          <w:szCs w:val="20"/>
        </w:rPr>
        <w:t xml:space="preserve">(3):581-9. </w:t>
      </w:r>
      <w:proofErr w:type="spellStart"/>
      <w:proofErr w:type="gramStart"/>
      <w:r w:rsidRPr="00AF78B1">
        <w:rPr>
          <w:rFonts w:ascii="Arial" w:hAnsi="Arial" w:cs="Arial"/>
          <w:sz w:val="20"/>
          <w:szCs w:val="20"/>
        </w:rPr>
        <w:t>doi</w:t>
      </w:r>
      <w:proofErr w:type="spellEnd"/>
      <w:proofErr w:type="gramEnd"/>
      <w:r w:rsidRPr="00AF78B1">
        <w:rPr>
          <w:rFonts w:ascii="Arial" w:hAnsi="Arial" w:cs="Arial"/>
          <w:sz w:val="20"/>
          <w:szCs w:val="20"/>
        </w:rPr>
        <w:t xml:space="preserve">: 10.1002/cncr.25444. </w:t>
      </w:r>
      <w:proofErr w:type="spellStart"/>
      <w:r w:rsidRPr="00AF78B1">
        <w:rPr>
          <w:rFonts w:ascii="Arial" w:hAnsi="Arial" w:cs="Arial"/>
          <w:sz w:val="20"/>
          <w:szCs w:val="20"/>
        </w:rPr>
        <w:t>Epub</w:t>
      </w:r>
      <w:proofErr w:type="spellEnd"/>
      <w:r w:rsidRPr="00AF78B1">
        <w:rPr>
          <w:rFonts w:ascii="Arial" w:hAnsi="Arial" w:cs="Arial"/>
          <w:sz w:val="20"/>
          <w:szCs w:val="20"/>
        </w:rPr>
        <w:t xml:space="preserve"> 2010 Oct 4. </w:t>
      </w:r>
    </w:p>
    <w:p w:rsidR="00CC4442" w:rsidRPr="00AF78B1" w:rsidRDefault="00CC4442" w:rsidP="00CC4442">
      <w:pPr>
        <w:ind w:right="-630"/>
      </w:pPr>
      <w:r>
        <w:t xml:space="preserve">6. </w:t>
      </w:r>
      <w:proofErr w:type="spellStart"/>
      <w:r w:rsidRPr="00AF78B1">
        <w:t>Moritake</w:t>
      </w:r>
      <w:proofErr w:type="spellEnd"/>
      <w:r w:rsidRPr="00AF78B1">
        <w:t xml:space="preserve"> H, </w:t>
      </w:r>
      <w:proofErr w:type="spellStart"/>
      <w:r w:rsidRPr="00AF78B1">
        <w:t>Shimonodan</w:t>
      </w:r>
      <w:proofErr w:type="spellEnd"/>
      <w:r w:rsidRPr="00AF78B1">
        <w:t xml:space="preserve"> H, </w:t>
      </w:r>
      <w:proofErr w:type="spellStart"/>
      <w:r w:rsidRPr="00AF78B1">
        <w:t>Marutsuka</w:t>
      </w:r>
      <w:proofErr w:type="spellEnd"/>
      <w:r w:rsidRPr="00AF78B1">
        <w:t xml:space="preserve"> K, </w:t>
      </w:r>
      <w:proofErr w:type="spellStart"/>
      <w:r w:rsidRPr="00AF78B1">
        <w:t>Kamimura</w:t>
      </w:r>
      <w:proofErr w:type="spellEnd"/>
      <w:r w:rsidRPr="00AF78B1">
        <w:t xml:space="preserve"> S, Kojima H, </w:t>
      </w:r>
      <w:proofErr w:type="spellStart"/>
      <w:r w:rsidRPr="00AF78B1">
        <w:t>Nunoi</w:t>
      </w:r>
      <w:proofErr w:type="spellEnd"/>
      <w:r w:rsidRPr="00AF78B1">
        <w:t xml:space="preserve"> H. C-MYC rearrangement may induce an aggressive phenotype in anaplastic lymphoma kinase positive anaplastic large cell lymphoma: Identification of a novel fusion gene ALO17/C-MYC. Am J </w:t>
      </w:r>
      <w:proofErr w:type="spellStart"/>
      <w:r w:rsidRPr="00AF78B1">
        <w:t>Hematol</w:t>
      </w:r>
      <w:proofErr w:type="spellEnd"/>
      <w:r w:rsidRPr="00AF78B1">
        <w:t>. 2011 Jan</w:t>
      </w:r>
      <w:proofErr w:type="gramStart"/>
      <w:r w:rsidRPr="00AF78B1">
        <w:t>;86</w:t>
      </w:r>
      <w:proofErr w:type="gramEnd"/>
      <w:r w:rsidRPr="00AF78B1">
        <w:t xml:space="preserve">(1):75-8. </w:t>
      </w:r>
      <w:proofErr w:type="spellStart"/>
      <w:proofErr w:type="gramStart"/>
      <w:r w:rsidRPr="00AF78B1">
        <w:t>doi</w:t>
      </w:r>
      <w:proofErr w:type="spellEnd"/>
      <w:proofErr w:type="gramEnd"/>
      <w:r w:rsidRPr="00AF78B1">
        <w:t xml:space="preserve">: 10.1002/ajh.21887. </w:t>
      </w:r>
      <w:proofErr w:type="spellStart"/>
      <w:r w:rsidRPr="00AF78B1">
        <w:t>PubMed</w:t>
      </w:r>
      <w:proofErr w:type="spellEnd"/>
      <w:r w:rsidRPr="00AF78B1">
        <w:t xml:space="preserve"> PMID: 21080342.</w:t>
      </w:r>
    </w:p>
    <w:p w:rsidR="00CC4442" w:rsidRDefault="00CC4442" w:rsidP="00CC4442">
      <w:pPr>
        <w:ind w:right="-630"/>
      </w:pPr>
    </w:p>
    <w:p w:rsidR="00CC4442" w:rsidRDefault="00CC4442" w:rsidP="00CC4442">
      <w:pPr>
        <w:ind w:right="-630"/>
      </w:pPr>
    </w:p>
    <w:p w:rsidR="00CC4442" w:rsidRDefault="00CC4442" w:rsidP="00B65452">
      <w:pPr>
        <w:spacing w:after="0"/>
        <w:rPr>
          <w:u w:val="single"/>
        </w:rPr>
      </w:pPr>
    </w:p>
    <w:p w:rsidR="00B65452" w:rsidRDefault="00B65452" w:rsidP="00B65452">
      <w:pPr>
        <w:spacing w:after="0"/>
        <w:rPr>
          <w:u w:val="single"/>
        </w:rPr>
      </w:pPr>
      <w:r>
        <w:rPr>
          <w:u w:val="single"/>
        </w:rPr>
        <w:t>Presenter:</w:t>
      </w:r>
    </w:p>
    <w:p w:rsidR="00B65452" w:rsidRPr="00517C20" w:rsidRDefault="00B65452" w:rsidP="00B65452">
      <w:pPr>
        <w:spacing w:after="0"/>
      </w:pPr>
      <w:proofErr w:type="spellStart"/>
      <w:r w:rsidRPr="00517C20">
        <w:t>Aadil</w:t>
      </w:r>
      <w:proofErr w:type="spellEnd"/>
      <w:r w:rsidRPr="00517C20">
        <w:t xml:space="preserve"> Ahmed, MD</w:t>
      </w:r>
    </w:p>
    <w:p w:rsidR="00B65452" w:rsidRDefault="00B65452" w:rsidP="00B65452">
      <w:pPr>
        <w:spacing w:after="0"/>
        <w:rPr>
          <w:u w:val="single"/>
        </w:rPr>
      </w:pPr>
      <w:r>
        <w:rPr>
          <w:u w:val="single"/>
        </w:rPr>
        <w:t>Attending:</w:t>
      </w:r>
    </w:p>
    <w:p w:rsidR="00B65452" w:rsidRPr="00517C20" w:rsidRDefault="00B65452" w:rsidP="00B65452">
      <w:pPr>
        <w:spacing w:after="0"/>
      </w:pPr>
      <w:r w:rsidRPr="00517C20">
        <w:t xml:space="preserve">Jodi </w:t>
      </w:r>
      <w:proofErr w:type="spellStart"/>
      <w:r w:rsidRPr="00517C20">
        <w:t>Speiser</w:t>
      </w:r>
      <w:proofErr w:type="spellEnd"/>
      <w:r w:rsidRPr="00517C20">
        <w:t>, MD</w:t>
      </w:r>
    </w:p>
    <w:p w:rsidR="00B65452" w:rsidRDefault="00B65452" w:rsidP="00B65452">
      <w:pPr>
        <w:spacing w:after="0"/>
        <w:rPr>
          <w:u w:val="single"/>
        </w:rPr>
      </w:pPr>
    </w:p>
    <w:p w:rsidR="00B65452" w:rsidRPr="00517C20" w:rsidRDefault="00B65452" w:rsidP="00B65452">
      <w:pPr>
        <w:spacing w:after="0"/>
        <w:rPr>
          <w:u w:val="single"/>
        </w:rPr>
      </w:pPr>
      <w:r w:rsidRPr="00517C20">
        <w:rPr>
          <w:u w:val="single"/>
        </w:rPr>
        <w:t>Clinical History:</w:t>
      </w:r>
    </w:p>
    <w:p w:rsidR="00B65452" w:rsidRDefault="00B65452" w:rsidP="00B65452">
      <w:r>
        <w:t>An 80 year old male with a history of basal cell carcinoma of the posterior neck noticed a lesion on his posterior scalp that was increasing in size for the past few months. The patient consulted his dermatologist who performed a shave biopsy of the lesion. The patient was referred to Loyola University Medical Center (LUMC) for wide local excision. Physical examination showed a lesion measuring approximately 2.5 cm with a central 1cm abrasion. At Loyola, excisional biopsy with reconstruction of scalp was performed. The outside biopsy slides were reviewed along with the final excisional specimen slides at LUMC.</w:t>
      </w:r>
    </w:p>
    <w:p w:rsidR="00B65452" w:rsidRDefault="00B65452" w:rsidP="00B65452">
      <w:pPr>
        <w:spacing w:after="0"/>
        <w:rPr>
          <w:u w:val="single"/>
        </w:rPr>
      </w:pPr>
    </w:p>
    <w:p w:rsidR="00B65452" w:rsidRPr="00517C20" w:rsidRDefault="00B65452" w:rsidP="00B65452">
      <w:pPr>
        <w:spacing w:after="0"/>
        <w:rPr>
          <w:u w:val="single"/>
        </w:rPr>
      </w:pPr>
      <w:r w:rsidRPr="00517C20">
        <w:rPr>
          <w:u w:val="single"/>
        </w:rPr>
        <w:t>Differential Diagnoses:</w:t>
      </w:r>
    </w:p>
    <w:p w:rsidR="00B65452" w:rsidRDefault="00B65452" w:rsidP="00B65452">
      <w:pPr>
        <w:spacing w:after="0"/>
      </w:pPr>
      <w:r>
        <w:t>Cutaneous leiomyosarcoma</w:t>
      </w:r>
    </w:p>
    <w:p w:rsidR="00B65452" w:rsidRDefault="00B65452" w:rsidP="00B65452">
      <w:pPr>
        <w:spacing w:after="0"/>
      </w:pPr>
      <w:r>
        <w:t>Atypical fibroxanthoma</w:t>
      </w:r>
    </w:p>
    <w:p w:rsidR="00B65452" w:rsidRDefault="00B65452" w:rsidP="00B65452">
      <w:pPr>
        <w:spacing w:after="0"/>
      </w:pPr>
      <w:proofErr w:type="spellStart"/>
      <w:r>
        <w:t>Plemorphic</w:t>
      </w:r>
      <w:proofErr w:type="spellEnd"/>
      <w:r>
        <w:t xml:space="preserve"> dermal sarcoma</w:t>
      </w:r>
    </w:p>
    <w:p w:rsidR="00B65452" w:rsidRDefault="00B65452" w:rsidP="00B65452">
      <w:pPr>
        <w:spacing w:after="0"/>
      </w:pPr>
      <w:r>
        <w:t xml:space="preserve">Spindle cell squamous cell carcinoma </w:t>
      </w:r>
    </w:p>
    <w:p w:rsidR="00B65452" w:rsidRDefault="00B65452" w:rsidP="00B65452">
      <w:pPr>
        <w:spacing w:after="0"/>
      </w:pPr>
      <w:r>
        <w:t>Spindle cell melanoma</w:t>
      </w:r>
    </w:p>
    <w:p w:rsidR="00B65452" w:rsidRDefault="00B65452" w:rsidP="00B65452">
      <w:pPr>
        <w:spacing w:after="0"/>
      </w:pPr>
      <w:r>
        <w:t>Dermatofibrosarcoma Protuberans</w:t>
      </w:r>
    </w:p>
    <w:p w:rsidR="00B65452" w:rsidRDefault="00B65452" w:rsidP="00B65452">
      <w:pPr>
        <w:spacing w:after="0"/>
      </w:pPr>
    </w:p>
    <w:p w:rsidR="00B65452" w:rsidRPr="00517C20" w:rsidRDefault="00B65452" w:rsidP="00B65452">
      <w:pPr>
        <w:spacing w:after="0"/>
        <w:rPr>
          <w:u w:val="single"/>
        </w:rPr>
      </w:pPr>
      <w:r w:rsidRPr="00517C20">
        <w:rPr>
          <w:u w:val="single"/>
        </w:rPr>
        <w:t>Key Features:</w:t>
      </w:r>
    </w:p>
    <w:p w:rsidR="00B65452" w:rsidRDefault="00B65452" w:rsidP="00B65452">
      <w:pPr>
        <w:spacing w:after="0"/>
        <w:rPr>
          <w:u w:val="single"/>
        </w:rPr>
      </w:pPr>
      <w:r w:rsidRPr="00517C20">
        <w:rPr>
          <w:u w:val="single"/>
        </w:rPr>
        <w:t>Histology:</w:t>
      </w:r>
    </w:p>
    <w:p w:rsidR="00B65452" w:rsidRPr="00BE3CD1" w:rsidRDefault="00B65452" w:rsidP="00B65452">
      <w:pPr>
        <w:spacing w:after="0"/>
      </w:pPr>
      <w:r>
        <w:t xml:space="preserve">Dermal </w:t>
      </w:r>
      <w:r w:rsidRPr="00BE3CD1">
        <w:t xml:space="preserve"> layer of the skin shows a densely cellular neoplasm with storiform pattern and irregular fascicles, composed of large pleomorphic spindle shaped cells with marked atypical nuclei</w:t>
      </w:r>
      <w:r>
        <w:t>,</w:t>
      </w:r>
      <w:r w:rsidRPr="00BE3CD1">
        <w:t xml:space="preserve"> some multinucleated, some with prominent nuclei in background of collagenous stroma</w:t>
      </w:r>
      <w:r>
        <w:t xml:space="preserve">. </w:t>
      </w:r>
      <w:r w:rsidRPr="00BE3CD1">
        <w:t>There are frequent large and atypical mitotic figures (12/10 HPF) with no necrosis</w:t>
      </w:r>
      <w:r>
        <w:t xml:space="preserve"> but extensive invasion into subcutaneous adipose tissue</w:t>
      </w:r>
      <w:r w:rsidRPr="00BE3CD1">
        <w:t>.</w:t>
      </w:r>
    </w:p>
    <w:p w:rsidR="00B65452" w:rsidRDefault="00B65452" w:rsidP="00B65452">
      <w:pPr>
        <w:spacing w:after="0"/>
      </w:pPr>
    </w:p>
    <w:p w:rsidR="00B65452" w:rsidRPr="00517C20" w:rsidRDefault="00B65452" w:rsidP="00B65452">
      <w:pPr>
        <w:spacing w:after="0"/>
        <w:rPr>
          <w:u w:val="single"/>
        </w:rPr>
      </w:pPr>
      <w:r w:rsidRPr="00517C20">
        <w:rPr>
          <w:u w:val="single"/>
        </w:rPr>
        <w:t>Positive IHC:</w:t>
      </w:r>
    </w:p>
    <w:p w:rsidR="00B65452" w:rsidRDefault="00B65452" w:rsidP="00B65452">
      <w:pPr>
        <w:spacing w:after="0"/>
      </w:pPr>
      <w:r>
        <w:t xml:space="preserve">CD10 </w:t>
      </w:r>
    </w:p>
    <w:p w:rsidR="00B65452" w:rsidRDefault="00B65452" w:rsidP="00B65452">
      <w:pPr>
        <w:spacing w:after="0" w:line="240" w:lineRule="auto"/>
      </w:pPr>
      <w:r>
        <w:t>CD99</w:t>
      </w:r>
    </w:p>
    <w:p w:rsidR="00B65452" w:rsidRDefault="00B65452" w:rsidP="00B65452">
      <w:pPr>
        <w:spacing w:after="0" w:line="240" w:lineRule="auto"/>
      </w:pPr>
      <w:r>
        <w:t>SMA (weakly positive)</w:t>
      </w:r>
    </w:p>
    <w:p w:rsidR="00B65452" w:rsidRDefault="00B65452" w:rsidP="00B65452">
      <w:pPr>
        <w:spacing w:after="0" w:line="240" w:lineRule="auto"/>
      </w:pPr>
      <w:r>
        <w:t>CD68 (Focal-shave biopsy)</w:t>
      </w:r>
    </w:p>
    <w:p w:rsidR="00B65452" w:rsidRDefault="00B65452" w:rsidP="00B65452">
      <w:pPr>
        <w:spacing w:after="0"/>
      </w:pPr>
    </w:p>
    <w:p w:rsidR="00B65452" w:rsidRPr="00517C20" w:rsidRDefault="00B65452" w:rsidP="00B65452">
      <w:pPr>
        <w:spacing w:after="0" w:line="240" w:lineRule="auto"/>
        <w:rPr>
          <w:u w:val="single"/>
        </w:rPr>
      </w:pPr>
      <w:r w:rsidRPr="00517C20">
        <w:rPr>
          <w:u w:val="single"/>
        </w:rPr>
        <w:t>Negative IHC</w:t>
      </w:r>
    </w:p>
    <w:p w:rsidR="00B65452" w:rsidRDefault="00B65452" w:rsidP="00B65452">
      <w:pPr>
        <w:spacing w:after="0" w:line="240" w:lineRule="auto"/>
      </w:pPr>
      <w:r>
        <w:t>Desmin, S-100, Keratin AE1/AE3, CD34, p63, Melan-A, MCK</w:t>
      </w:r>
    </w:p>
    <w:p w:rsidR="00B65452" w:rsidRDefault="00B65452" w:rsidP="00B65452">
      <w:pPr>
        <w:spacing w:after="0" w:line="240" w:lineRule="auto"/>
      </w:pPr>
    </w:p>
    <w:p w:rsidR="00B65452" w:rsidRDefault="00B65452" w:rsidP="00B65452">
      <w:pPr>
        <w:spacing w:after="0"/>
      </w:pPr>
      <w:r w:rsidRPr="00517C20">
        <w:rPr>
          <w:u w:val="single"/>
        </w:rPr>
        <w:t>Final Diagnosis:</w:t>
      </w:r>
      <w:r>
        <w:t xml:space="preserve"> </w:t>
      </w:r>
    </w:p>
    <w:p w:rsidR="00B65452" w:rsidRDefault="00B65452" w:rsidP="00B65452">
      <w:pPr>
        <w:spacing w:after="0" w:line="240" w:lineRule="auto"/>
      </w:pPr>
      <w:r>
        <w:t>Pleomorphic Dermal Sarcoma</w:t>
      </w:r>
    </w:p>
    <w:p w:rsidR="00B65452" w:rsidRDefault="00B65452" w:rsidP="00B65452">
      <w:pPr>
        <w:spacing w:after="0"/>
      </w:pPr>
    </w:p>
    <w:p w:rsidR="00B65452" w:rsidRDefault="00B65452" w:rsidP="006D6E5D">
      <w:pPr>
        <w:spacing w:after="0"/>
        <w:ind w:left="1440" w:firstLine="720"/>
        <w:rPr>
          <w:u w:val="single"/>
        </w:rPr>
      </w:pPr>
      <w:r>
        <w:rPr>
          <w:noProof/>
          <w:u w:val="single"/>
        </w:rPr>
        <w:drawing>
          <wp:inline distT="0" distB="0" distL="0" distR="0">
            <wp:extent cx="3524250" cy="2105025"/>
            <wp:effectExtent l="19050" t="0" r="0" b="0"/>
            <wp:docPr id="19" name="Picture 1" descr="I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AP"/>
                    <pic:cNvPicPr>
                      <a:picLocks noChangeAspect="1" noChangeArrowheads="1"/>
                    </pic:cNvPicPr>
                  </pic:nvPicPr>
                  <pic:blipFill>
                    <a:blip r:embed="rId25" cstate="print"/>
                    <a:srcRect/>
                    <a:stretch>
                      <a:fillRect/>
                    </a:stretch>
                  </pic:blipFill>
                  <pic:spPr bwMode="auto">
                    <a:xfrm>
                      <a:off x="0" y="0"/>
                      <a:ext cx="3524250" cy="2105025"/>
                    </a:xfrm>
                    <a:prstGeom prst="rect">
                      <a:avLst/>
                    </a:prstGeom>
                    <a:noFill/>
                    <a:ln w="9525">
                      <a:noFill/>
                      <a:miter lim="800000"/>
                      <a:headEnd/>
                      <a:tailEnd/>
                    </a:ln>
                  </pic:spPr>
                </pic:pic>
              </a:graphicData>
            </a:graphic>
          </wp:inline>
        </w:drawing>
      </w:r>
    </w:p>
    <w:p w:rsidR="00B65452" w:rsidRDefault="00B65452" w:rsidP="00B65452">
      <w:pPr>
        <w:spacing w:after="0"/>
        <w:rPr>
          <w:u w:val="single"/>
        </w:rPr>
      </w:pPr>
    </w:p>
    <w:p w:rsidR="00B65452" w:rsidRDefault="00B65452" w:rsidP="00B65452">
      <w:pPr>
        <w:spacing w:after="0"/>
        <w:rPr>
          <w:u w:val="single"/>
        </w:rPr>
      </w:pPr>
    </w:p>
    <w:p w:rsidR="00B65452" w:rsidRDefault="00B65452" w:rsidP="00B65452">
      <w:pPr>
        <w:spacing w:after="0"/>
        <w:rPr>
          <w:u w:val="single"/>
        </w:rPr>
      </w:pPr>
    </w:p>
    <w:p w:rsidR="00B65452" w:rsidRDefault="00B65452" w:rsidP="00B65452">
      <w:pPr>
        <w:spacing w:after="0"/>
        <w:rPr>
          <w:u w:val="single"/>
        </w:rPr>
      </w:pPr>
    </w:p>
    <w:p w:rsidR="00B65452" w:rsidRDefault="00B65452" w:rsidP="00B65452">
      <w:pPr>
        <w:spacing w:after="0"/>
        <w:ind w:left="1440" w:firstLine="720"/>
        <w:rPr>
          <w:u w:val="single"/>
        </w:rPr>
      </w:pPr>
      <w:r>
        <w:rPr>
          <w:noProof/>
          <w:u w:val="single"/>
        </w:rPr>
        <w:drawing>
          <wp:inline distT="0" distB="0" distL="0" distR="0">
            <wp:extent cx="3552825" cy="2133600"/>
            <wp:effectExtent l="19050" t="0" r="9525" b="0"/>
            <wp:docPr id="18" name="Picture 2" descr="IR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AP2"/>
                    <pic:cNvPicPr>
                      <a:picLocks noChangeAspect="1" noChangeArrowheads="1"/>
                    </pic:cNvPicPr>
                  </pic:nvPicPr>
                  <pic:blipFill>
                    <a:blip r:embed="rId26" cstate="print"/>
                    <a:srcRect/>
                    <a:stretch>
                      <a:fillRect/>
                    </a:stretch>
                  </pic:blipFill>
                  <pic:spPr bwMode="auto">
                    <a:xfrm>
                      <a:off x="0" y="0"/>
                      <a:ext cx="3552825" cy="2133600"/>
                    </a:xfrm>
                    <a:prstGeom prst="rect">
                      <a:avLst/>
                    </a:prstGeom>
                    <a:noFill/>
                    <a:ln w="9525">
                      <a:noFill/>
                      <a:miter lim="800000"/>
                      <a:headEnd/>
                      <a:tailEnd/>
                    </a:ln>
                  </pic:spPr>
                </pic:pic>
              </a:graphicData>
            </a:graphic>
          </wp:inline>
        </w:drawing>
      </w:r>
    </w:p>
    <w:p w:rsidR="00B65452" w:rsidRDefault="00B65452" w:rsidP="00B65452">
      <w:pPr>
        <w:spacing w:after="0"/>
        <w:rPr>
          <w:u w:val="single"/>
        </w:rPr>
      </w:pPr>
    </w:p>
    <w:p w:rsidR="00B65452" w:rsidRDefault="00B65452" w:rsidP="00B65452">
      <w:pPr>
        <w:spacing w:after="0"/>
        <w:ind w:left="1440" w:firstLine="720"/>
        <w:rPr>
          <w:u w:val="single"/>
        </w:rPr>
      </w:pPr>
    </w:p>
    <w:p w:rsidR="00B65452" w:rsidRDefault="00B65452" w:rsidP="00B65452">
      <w:pPr>
        <w:spacing w:after="0"/>
        <w:rPr>
          <w:u w:val="single"/>
        </w:rPr>
      </w:pPr>
    </w:p>
    <w:p w:rsidR="00B65452" w:rsidRDefault="00B65452" w:rsidP="00B65452">
      <w:pPr>
        <w:spacing w:after="0"/>
        <w:ind w:left="1440" w:firstLine="720"/>
        <w:rPr>
          <w:u w:val="single"/>
        </w:rPr>
      </w:pPr>
      <w:r>
        <w:rPr>
          <w:noProof/>
          <w:u w:val="single"/>
        </w:rPr>
        <w:drawing>
          <wp:inline distT="0" distB="0" distL="0" distR="0">
            <wp:extent cx="3552825" cy="2143125"/>
            <wp:effectExtent l="19050" t="0" r="9525" b="0"/>
            <wp:docPr id="17" name="Picture 3" descr="IR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AP3"/>
                    <pic:cNvPicPr>
                      <a:picLocks noChangeAspect="1" noChangeArrowheads="1"/>
                    </pic:cNvPicPr>
                  </pic:nvPicPr>
                  <pic:blipFill>
                    <a:blip r:embed="rId27" cstate="print"/>
                    <a:srcRect/>
                    <a:stretch>
                      <a:fillRect/>
                    </a:stretch>
                  </pic:blipFill>
                  <pic:spPr bwMode="auto">
                    <a:xfrm>
                      <a:off x="0" y="0"/>
                      <a:ext cx="3552825" cy="2143125"/>
                    </a:xfrm>
                    <a:prstGeom prst="rect">
                      <a:avLst/>
                    </a:prstGeom>
                    <a:noFill/>
                    <a:ln w="9525">
                      <a:noFill/>
                      <a:miter lim="800000"/>
                      <a:headEnd/>
                      <a:tailEnd/>
                    </a:ln>
                  </pic:spPr>
                </pic:pic>
              </a:graphicData>
            </a:graphic>
          </wp:inline>
        </w:drawing>
      </w:r>
    </w:p>
    <w:p w:rsidR="00B65452" w:rsidRDefault="00B65452" w:rsidP="00B65452">
      <w:pPr>
        <w:spacing w:after="0"/>
        <w:rPr>
          <w:u w:val="single"/>
        </w:rPr>
      </w:pPr>
    </w:p>
    <w:p w:rsidR="00B65452" w:rsidRDefault="00B65452" w:rsidP="00B65452">
      <w:pPr>
        <w:spacing w:after="0"/>
        <w:rPr>
          <w:u w:val="single"/>
        </w:rPr>
      </w:pPr>
      <w:r w:rsidRPr="00517C20">
        <w:rPr>
          <w:u w:val="single"/>
        </w:rPr>
        <w:t>Discussion:</w:t>
      </w:r>
    </w:p>
    <w:p w:rsidR="00B65452" w:rsidRDefault="00B65452" w:rsidP="00B65452">
      <w:pPr>
        <w:spacing w:after="0"/>
      </w:pPr>
      <w:r w:rsidRPr="007737F9">
        <w:t>Pleomorphic neoplasms are typically associated with high-grade malignant behavior but not necessarily in primary</w:t>
      </w:r>
      <w:r>
        <w:t xml:space="preserve"> </w:t>
      </w:r>
      <w:r w:rsidRPr="007737F9">
        <w:t xml:space="preserve">cutaneous tumors. </w:t>
      </w:r>
      <w:r>
        <w:t xml:space="preserve">Such neoplasms constitute a spectrum of lesions with overlapping histological and immunohistochemical features. </w:t>
      </w:r>
    </w:p>
    <w:p w:rsidR="00B65452" w:rsidRDefault="00B65452" w:rsidP="00B65452">
      <w:pPr>
        <w:spacing w:after="0"/>
      </w:pPr>
    </w:p>
    <w:p w:rsidR="00B65452" w:rsidRDefault="00B65452" w:rsidP="00B65452">
      <w:pPr>
        <w:spacing w:after="0"/>
      </w:pPr>
      <w:r>
        <w:t>In our case, shave biopsy showed smooth muscle markers positivity along with CD68. Due to such overlapping of IHC markers, the differential diagnoses of atypical fibroxanthoma/</w:t>
      </w:r>
      <w:proofErr w:type="gramStart"/>
      <w:r>
        <w:t>PDS  vs</w:t>
      </w:r>
      <w:proofErr w:type="gramEnd"/>
      <w:r>
        <w:t xml:space="preserve"> cutaneous leiomyosarcoma was considered. However, the exact depth of invasion/ involvement of subcutaneous tissue </w:t>
      </w:r>
      <w:proofErr w:type="gramStart"/>
      <w:r>
        <w:t>is</w:t>
      </w:r>
      <w:proofErr w:type="gramEnd"/>
      <w:r>
        <w:t xml:space="preserve"> a distinct morphological feature that distinguishes between AFS and PDS and that cannot be estimated on shave biopsy; a definitive diagnosis in contrast to the outside report was not given. </w:t>
      </w:r>
    </w:p>
    <w:p w:rsidR="00B65452" w:rsidRDefault="00B65452" w:rsidP="00B65452">
      <w:pPr>
        <w:spacing w:after="0"/>
      </w:pPr>
    </w:p>
    <w:p w:rsidR="00B65452" w:rsidRDefault="00B65452" w:rsidP="00B65452">
      <w:pPr>
        <w:spacing w:after="0"/>
      </w:pPr>
      <w:r>
        <w:t xml:space="preserve">The excisional biopsy showed a mass in dermal layer with invasion into subcutaneous adipose tissue. The mass is composed of large pleomorphic spindle shaped cells in a storiform or fascicular pattern with marked atypia and mitoses. The negative staining of S-100 and Melan-A helped in excluding the diagnosis of spindle cell melanoma while negative Keratin and p63 ruled out </w:t>
      </w:r>
      <w:proofErr w:type="spellStart"/>
      <w:r>
        <w:t>squamouc</w:t>
      </w:r>
      <w:proofErr w:type="spellEnd"/>
      <w:r>
        <w:t xml:space="preserve"> cell carcinoma with spindle cell features. </w:t>
      </w:r>
    </w:p>
    <w:p w:rsidR="00B65452" w:rsidRDefault="00B65452" w:rsidP="00B65452">
      <w:pPr>
        <w:spacing w:after="0"/>
      </w:pPr>
    </w:p>
    <w:p w:rsidR="00B65452" w:rsidRDefault="00B65452" w:rsidP="00B65452">
      <w:pPr>
        <w:spacing w:after="0"/>
      </w:pPr>
      <w:r>
        <w:t xml:space="preserve">Though SMA </w:t>
      </w:r>
      <w:proofErr w:type="gramStart"/>
      <w:r>
        <w:t>were</w:t>
      </w:r>
      <w:proofErr w:type="gramEnd"/>
      <w:r>
        <w:t xml:space="preserve"> positive on shave biopsy, SMA was only focally positive on excisional biopsy. SMA is positive in a number of spindle cell tumors and in the absence of desmin, it favored against the cutaneous leiomyosarcoma. </w:t>
      </w:r>
    </w:p>
    <w:p w:rsidR="00B65452" w:rsidRDefault="00B65452" w:rsidP="00B65452">
      <w:pPr>
        <w:spacing w:after="0"/>
      </w:pPr>
    </w:p>
    <w:p w:rsidR="00B65452" w:rsidRDefault="00B65452" w:rsidP="00B65452">
      <w:pPr>
        <w:spacing w:after="0"/>
      </w:pPr>
      <w:r>
        <w:t xml:space="preserve">As atypical fibroxanthoma and pleomorphic dermal sarcoma are similar in their morphology and immunohistochemistry (both can be CD10, CD99 positive), invasion into subcutaneous fat excluded the diagnosis of </w:t>
      </w:r>
      <w:proofErr w:type="spellStart"/>
      <w:r>
        <w:t>atypicalfibroxanthoma</w:t>
      </w:r>
      <w:proofErr w:type="spellEnd"/>
      <w:r>
        <w:t xml:space="preserve">. </w:t>
      </w:r>
    </w:p>
    <w:p w:rsidR="00B65452" w:rsidRDefault="00B65452" w:rsidP="00B65452">
      <w:pPr>
        <w:spacing w:after="0"/>
      </w:pPr>
    </w:p>
    <w:p w:rsidR="00B65452" w:rsidRDefault="00B65452" w:rsidP="00B65452">
      <w:pPr>
        <w:spacing w:after="0"/>
      </w:pPr>
      <w:r>
        <w:t xml:space="preserve">In addition, pleomorphic dermal sarcoma affects sun-damaged skin of the elderly with a strong male </w:t>
      </w:r>
      <w:proofErr w:type="spellStart"/>
      <w:r>
        <w:t>dilection</w:t>
      </w:r>
      <w:proofErr w:type="spellEnd"/>
      <w:r>
        <w:t xml:space="preserve"> (7:1) and a preference for the scalp. A short history of rapid growth is characteristic and ulceration is common. On the other hand, cutaneous leiomyosarcoma is more common on lower extremities.</w:t>
      </w:r>
    </w:p>
    <w:p w:rsidR="00B65452" w:rsidRDefault="00B65452" w:rsidP="00B65452">
      <w:pPr>
        <w:spacing w:after="0"/>
      </w:pPr>
    </w:p>
    <w:p w:rsidR="00B65452" w:rsidRDefault="00B65452" w:rsidP="00B65452">
      <w:pPr>
        <w:spacing w:after="0"/>
      </w:pPr>
      <w:r>
        <w:t xml:space="preserve">PDS is a diagnosis of exclusion and the use of the term “pleomorphic dermal sarcoma” is to reflect their histological high grade but primarily dermal based tumor with potential for aggressive behavior.  Undifferentiated pleomorphic sarcoma of the skin may be used but a distinction between deeper and superficial variant is necessary as former is related with poor prognosis. </w:t>
      </w:r>
    </w:p>
    <w:p w:rsidR="00B65452" w:rsidRPr="00BE3CD1" w:rsidRDefault="00B65452" w:rsidP="00B65452">
      <w:pPr>
        <w:spacing w:after="0"/>
      </w:pPr>
    </w:p>
    <w:p w:rsidR="00B65452" w:rsidRPr="00AE4D45" w:rsidRDefault="00B65452" w:rsidP="00B65452">
      <w:pPr>
        <w:spacing w:after="0"/>
        <w:rPr>
          <w:u w:val="single"/>
        </w:rPr>
      </w:pPr>
      <w:r w:rsidRPr="00AE4D45">
        <w:rPr>
          <w:u w:val="single"/>
        </w:rPr>
        <w:t>Take home points:</w:t>
      </w:r>
    </w:p>
    <w:p w:rsidR="00B65452" w:rsidRDefault="00B65452" w:rsidP="00B65452">
      <w:pPr>
        <w:pStyle w:val="ListParagraph"/>
        <w:numPr>
          <w:ilvl w:val="0"/>
          <w:numId w:val="10"/>
        </w:numPr>
        <w:spacing w:after="0"/>
      </w:pPr>
      <w:r>
        <w:t>A definitive diagnosis should not be given on shave biopsy</w:t>
      </w:r>
    </w:p>
    <w:p w:rsidR="00B65452" w:rsidRDefault="00B65452" w:rsidP="00B65452">
      <w:pPr>
        <w:pStyle w:val="ListParagraph"/>
        <w:numPr>
          <w:ilvl w:val="0"/>
          <w:numId w:val="10"/>
        </w:numPr>
        <w:spacing w:after="0"/>
      </w:pPr>
      <w:r>
        <w:t>Immunohistochemistry is primarily non-specific; however it can be used to exclude certain neoplasms.</w:t>
      </w:r>
    </w:p>
    <w:p w:rsidR="00B65452" w:rsidRDefault="00B65452" w:rsidP="00B65452">
      <w:pPr>
        <w:pStyle w:val="ListParagraph"/>
        <w:numPr>
          <w:ilvl w:val="0"/>
          <w:numId w:val="10"/>
        </w:numPr>
        <w:spacing w:after="0"/>
      </w:pPr>
      <w:r>
        <w:lastRenderedPageBreak/>
        <w:t>Morphology and clinical history eventually plays a big role in differentiating pleomorphic dermal neoplasms from one another.</w:t>
      </w:r>
    </w:p>
    <w:p w:rsidR="00B65452" w:rsidRDefault="00B65452" w:rsidP="00B65452">
      <w:pPr>
        <w:pStyle w:val="ListParagraph"/>
        <w:spacing w:after="0"/>
      </w:pPr>
    </w:p>
    <w:p w:rsidR="00B65452" w:rsidRDefault="00B65452" w:rsidP="00B65452">
      <w:pPr>
        <w:pStyle w:val="ListParagraph"/>
        <w:spacing w:after="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0"/>
        <w:gridCol w:w="1470"/>
        <w:gridCol w:w="1454"/>
        <w:gridCol w:w="1470"/>
      </w:tblGrid>
      <w:tr w:rsidR="00B65452" w:rsidTr="00C00423">
        <w:tc>
          <w:tcPr>
            <w:tcW w:w="1530" w:type="dxa"/>
          </w:tcPr>
          <w:p w:rsidR="00B65452" w:rsidRDefault="00B65452" w:rsidP="00C00423">
            <w:pPr>
              <w:pStyle w:val="ListParagraph"/>
              <w:spacing w:after="0"/>
              <w:ind w:left="0"/>
            </w:pPr>
          </w:p>
        </w:tc>
        <w:tc>
          <w:tcPr>
            <w:tcW w:w="1470" w:type="dxa"/>
          </w:tcPr>
          <w:p w:rsidR="00B65452" w:rsidRDefault="00B65452" w:rsidP="00C00423">
            <w:pPr>
              <w:pStyle w:val="ListParagraph"/>
              <w:spacing w:after="0"/>
              <w:ind w:left="0"/>
            </w:pPr>
            <w:r>
              <w:t>PDS</w:t>
            </w:r>
          </w:p>
        </w:tc>
        <w:tc>
          <w:tcPr>
            <w:tcW w:w="1454" w:type="dxa"/>
          </w:tcPr>
          <w:p w:rsidR="00B65452" w:rsidRDefault="00B65452" w:rsidP="00C00423">
            <w:pPr>
              <w:pStyle w:val="ListParagraph"/>
              <w:spacing w:after="0"/>
              <w:ind w:left="0"/>
            </w:pPr>
            <w:r>
              <w:t>AFX</w:t>
            </w:r>
          </w:p>
        </w:tc>
        <w:tc>
          <w:tcPr>
            <w:tcW w:w="1470" w:type="dxa"/>
          </w:tcPr>
          <w:p w:rsidR="00B65452" w:rsidRDefault="00B65452" w:rsidP="00C00423">
            <w:pPr>
              <w:pStyle w:val="ListParagraph"/>
              <w:spacing w:after="0"/>
              <w:ind w:left="0"/>
            </w:pPr>
            <w:r>
              <w:t>LMS</w:t>
            </w:r>
          </w:p>
        </w:tc>
      </w:tr>
      <w:tr w:rsidR="00B65452" w:rsidTr="00C00423">
        <w:tc>
          <w:tcPr>
            <w:tcW w:w="1530" w:type="dxa"/>
          </w:tcPr>
          <w:p w:rsidR="00B65452" w:rsidRDefault="00B65452" w:rsidP="00C00423">
            <w:pPr>
              <w:pStyle w:val="ListParagraph"/>
              <w:spacing w:after="0"/>
              <w:ind w:left="0"/>
            </w:pPr>
            <w:r>
              <w:t>CD10</w:t>
            </w:r>
          </w:p>
        </w:tc>
        <w:tc>
          <w:tcPr>
            <w:tcW w:w="1470" w:type="dxa"/>
          </w:tcPr>
          <w:p w:rsidR="00B65452" w:rsidRDefault="00B65452" w:rsidP="00C00423">
            <w:pPr>
              <w:pStyle w:val="ListParagraph"/>
              <w:spacing w:after="0"/>
              <w:ind w:left="0"/>
            </w:pPr>
            <w:r>
              <w:t>100%</w:t>
            </w:r>
          </w:p>
        </w:tc>
        <w:tc>
          <w:tcPr>
            <w:tcW w:w="1454" w:type="dxa"/>
          </w:tcPr>
          <w:p w:rsidR="00B65452" w:rsidRDefault="00B65452" w:rsidP="00C00423">
            <w:pPr>
              <w:pStyle w:val="ListParagraph"/>
              <w:spacing w:after="0"/>
              <w:ind w:left="0"/>
            </w:pPr>
            <w:r>
              <w:t>78-87%</w:t>
            </w:r>
          </w:p>
        </w:tc>
        <w:tc>
          <w:tcPr>
            <w:tcW w:w="1470" w:type="dxa"/>
          </w:tcPr>
          <w:p w:rsidR="00B65452" w:rsidRDefault="00B65452" w:rsidP="00C00423">
            <w:pPr>
              <w:pStyle w:val="ListParagraph"/>
              <w:spacing w:after="0"/>
              <w:ind w:left="0"/>
            </w:pPr>
          </w:p>
        </w:tc>
      </w:tr>
      <w:tr w:rsidR="00B65452" w:rsidTr="00C00423">
        <w:tc>
          <w:tcPr>
            <w:tcW w:w="1530" w:type="dxa"/>
          </w:tcPr>
          <w:p w:rsidR="00B65452" w:rsidRDefault="00B65452" w:rsidP="00C00423">
            <w:pPr>
              <w:pStyle w:val="ListParagraph"/>
              <w:spacing w:after="0"/>
              <w:ind w:left="0"/>
            </w:pPr>
            <w:r>
              <w:t>CD99</w:t>
            </w:r>
          </w:p>
        </w:tc>
        <w:tc>
          <w:tcPr>
            <w:tcW w:w="1470" w:type="dxa"/>
          </w:tcPr>
          <w:p w:rsidR="00B65452" w:rsidRDefault="00B65452" w:rsidP="00C00423">
            <w:pPr>
              <w:pStyle w:val="ListParagraph"/>
              <w:spacing w:after="0"/>
              <w:ind w:left="0"/>
            </w:pPr>
            <w:r>
              <w:t>35%</w:t>
            </w:r>
          </w:p>
        </w:tc>
        <w:tc>
          <w:tcPr>
            <w:tcW w:w="1454" w:type="dxa"/>
          </w:tcPr>
          <w:p w:rsidR="00B65452" w:rsidRDefault="00B65452" w:rsidP="00C00423">
            <w:pPr>
              <w:pStyle w:val="ListParagraph"/>
              <w:spacing w:after="0"/>
              <w:ind w:left="0"/>
            </w:pPr>
            <w:r>
              <w:t>35-73%</w:t>
            </w:r>
          </w:p>
        </w:tc>
        <w:tc>
          <w:tcPr>
            <w:tcW w:w="1470" w:type="dxa"/>
          </w:tcPr>
          <w:p w:rsidR="00B65452" w:rsidRDefault="00B65452" w:rsidP="00C00423">
            <w:pPr>
              <w:pStyle w:val="ListParagraph"/>
              <w:spacing w:after="0"/>
              <w:ind w:left="0"/>
            </w:pPr>
          </w:p>
        </w:tc>
      </w:tr>
      <w:tr w:rsidR="00B65452" w:rsidTr="00C00423">
        <w:tc>
          <w:tcPr>
            <w:tcW w:w="1530" w:type="dxa"/>
          </w:tcPr>
          <w:p w:rsidR="00B65452" w:rsidRDefault="00B65452" w:rsidP="00C00423">
            <w:pPr>
              <w:pStyle w:val="ListParagraph"/>
              <w:spacing w:after="0"/>
              <w:ind w:left="0"/>
            </w:pPr>
            <w:r>
              <w:t>CD68</w:t>
            </w:r>
          </w:p>
        </w:tc>
        <w:tc>
          <w:tcPr>
            <w:tcW w:w="1470" w:type="dxa"/>
          </w:tcPr>
          <w:p w:rsidR="00B65452" w:rsidRDefault="00B65452" w:rsidP="00C00423">
            <w:pPr>
              <w:pStyle w:val="ListParagraph"/>
              <w:spacing w:after="0"/>
              <w:ind w:left="0"/>
            </w:pPr>
            <w:r>
              <w:t>+</w:t>
            </w:r>
          </w:p>
        </w:tc>
        <w:tc>
          <w:tcPr>
            <w:tcW w:w="1454" w:type="dxa"/>
          </w:tcPr>
          <w:p w:rsidR="00B65452" w:rsidRDefault="00B65452" w:rsidP="00C00423">
            <w:pPr>
              <w:pStyle w:val="ListParagraph"/>
              <w:spacing w:after="0"/>
              <w:ind w:left="0"/>
            </w:pPr>
            <w:r>
              <w:t>++</w:t>
            </w:r>
          </w:p>
        </w:tc>
        <w:tc>
          <w:tcPr>
            <w:tcW w:w="1470" w:type="dxa"/>
          </w:tcPr>
          <w:p w:rsidR="00B65452" w:rsidRDefault="00B65452" w:rsidP="00C00423">
            <w:pPr>
              <w:pStyle w:val="ListParagraph"/>
              <w:spacing w:after="0"/>
              <w:ind w:left="0"/>
            </w:pPr>
          </w:p>
        </w:tc>
      </w:tr>
      <w:tr w:rsidR="00B65452" w:rsidTr="00C00423">
        <w:tc>
          <w:tcPr>
            <w:tcW w:w="1530" w:type="dxa"/>
          </w:tcPr>
          <w:p w:rsidR="00B65452" w:rsidRDefault="00B65452" w:rsidP="00C00423">
            <w:pPr>
              <w:pStyle w:val="ListParagraph"/>
              <w:spacing w:after="0"/>
              <w:ind w:left="0"/>
            </w:pPr>
            <w:r>
              <w:t>SMA</w:t>
            </w:r>
          </w:p>
        </w:tc>
        <w:tc>
          <w:tcPr>
            <w:tcW w:w="1470" w:type="dxa"/>
          </w:tcPr>
          <w:p w:rsidR="00B65452" w:rsidRDefault="00B65452" w:rsidP="00C00423">
            <w:pPr>
              <w:pStyle w:val="ListParagraph"/>
              <w:spacing w:after="0"/>
              <w:ind w:left="0"/>
            </w:pPr>
            <w:r>
              <w:t>70%</w:t>
            </w:r>
          </w:p>
        </w:tc>
        <w:tc>
          <w:tcPr>
            <w:tcW w:w="1454" w:type="dxa"/>
          </w:tcPr>
          <w:p w:rsidR="00B65452" w:rsidRDefault="00B65452" w:rsidP="00C00423">
            <w:pPr>
              <w:pStyle w:val="ListParagraph"/>
              <w:spacing w:after="0"/>
              <w:ind w:left="0"/>
            </w:pPr>
            <w:r>
              <w:t>30%</w:t>
            </w:r>
          </w:p>
        </w:tc>
        <w:tc>
          <w:tcPr>
            <w:tcW w:w="1470" w:type="dxa"/>
          </w:tcPr>
          <w:p w:rsidR="00B65452" w:rsidRDefault="00B65452" w:rsidP="00C00423">
            <w:pPr>
              <w:pStyle w:val="ListParagraph"/>
              <w:spacing w:after="0"/>
              <w:ind w:left="0"/>
            </w:pPr>
            <w:r>
              <w:t>91-100%</w:t>
            </w:r>
          </w:p>
        </w:tc>
      </w:tr>
      <w:tr w:rsidR="00B65452" w:rsidTr="00C00423">
        <w:tc>
          <w:tcPr>
            <w:tcW w:w="1530" w:type="dxa"/>
          </w:tcPr>
          <w:p w:rsidR="00B65452" w:rsidRDefault="00B65452" w:rsidP="00C00423">
            <w:pPr>
              <w:pStyle w:val="ListParagraph"/>
              <w:spacing w:after="0"/>
              <w:ind w:left="0"/>
            </w:pPr>
            <w:r>
              <w:t>Desmin</w:t>
            </w:r>
          </w:p>
        </w:tc>
        <w:tc>
          <w:tcPr>
            <w:tcW w:w="1470" w:type="dxa"/>
          </w:tcPr>
          <w:p w:rsidR="00B65452" w:rsidRDefault="00B65452" w:rsidP="00C00423">
            <w:pPr>
              <w:pStyle w:val="ListParagraph"/>
              <w:spacing w:after="0"/>
              <w:ind w:left="0"/>
            </w:pPr>
            <w:r>
              <w:t>-</w:t>
            </w:r>
          </w:p>
        </w:tc>
        <w:tc>
          <w:tcPr>
            <w:tcW w:w="1454" w:type="dxa"/>
          </w:tcPr>
          <w:p w:rsidR="00B65452" w:rsidRDefault="00B65452" w:rsidP="00C00423">
            <w:pPr>
              <w:pStyle w:val="ListParagraph"/>
              <w:spacing w:after="0"/>
              <w:ind w:left="0"/>
            </w:pPr>
            <w:r>
              <w:t>-</w:t>
            </w:r>
          </w:p>
        </w:tc>
        <w:tc>
          <w:tcPr>
            <w:tcW w:w="1470" w:type="dxa"/>
          </w:tcPr>
          <w:p w:rsidR="00B65452" w:rsidRDefault="00B65452" w:rsidP="00C00423">
            <w:pPr>
              <w:pStyle w:val="ListParagraph"/>
              <w:spacing w:after="0"/>
              <w:ind w:left="0"/>
            </w:pPr>
            <w:r>
              <w:t>73-100%</w:t>
            </w:r>
          </w:p>
        </w:tc>
      </w:tr>
    </w:tbl>
    <w:p w:rsidR="00B65452" w:rsidRDefault="00B65452" w:rsidP="00B65452">
      <w:pPr>
        <w:pStyle w:val="ListParagraph"/>
        <w:spacing w:after="0"/>
      </w:pPr>
    </w:p>
    <w:p w:rsidR="00B65452" w:rsidRDefault="00B65452" w:rsidP="00B65452">
      <w:pPr>
        <w:pStyle w:val="ListParagraph"/>
        <w:spacing w:after="0"/>
      </w:pPr>
    </w:p>
    <w:p w:rsidR="00B65452" w:rsidRDefault="00B65452" w:rsidP="00B65452">
      <w:pPr>
        <w:pStyle w:val="ListParagraph"/>
        <w:spacing w:after="0"/>
      </w:pPr>
    </w:p>
    <w:p w:rsidR="00B65452" w:rsidRDefault="00B65452" w:rsidP="00B65452">
      <w:pPr>
        <w:pStyle w:val="ListParagraph"/>
        <w:spacing w:after="0"/>
        <w:ind w:left="0"/>
      </w:pPr>
      <w:r>
        <w:t>References:</w:t>
      </w:r>
    </w:p>
    <w:p w:rsidR="00B65452" w:rsidRDefault="00B65452" w:rsidP="00B65452">
      <w:pPr>
        <w:pStyle w:val="ListParagraph"/>
        <w:spacing w:after="0"/>
        <w:ind w:left="0"/>
      </w:pPr>
    </w:p>
    <w:p w:rsidR="00B65452" w:rsidRDefault="00B65452" w:rsidP="00B65452">
      <w:pPr>
        <w:pStyle w:val="ListParagraph"/>
        <w:spacing w:after="0"/>
        <w:ind w:left="0"/>
      </w:pPr>
      <w:r>
        <w:t xml:space="preserve">Brenn T. </w:t>
      </w:r>
      <w:r w:rsidRPr="003E5059">
        <w:t xml:space="preserve">Pleomorphic dermal neoplasms: a review. Adv </w:t>
      </w:r>
      <w:proofErr w:type="spellStart"/>
      <w:r w:rsidRPr="003E5059">
        <w:t>Anat</w:t>
      </w:r>
      <w:proofErr w:type="spellEnd"/>
      <w:r w:rsidRPr="003E5059">
        <w:t xml:space="preserve"> </w:t>
      </w:r>
      <w:proofErr w:type="spellStart"/>
      <w:r w:rsidRPr="003E5059">
        <w:t>Pathol</w:t>
      </w:r>
      <w:proofErr w:type="spellEnd"/>
      <w:r w:rsidRPr="003E5059">
        <w:t>. 2014 Mar</w:t>
      </w:r>
      <w:proofErr w:type="gramStart"/>
      <w:r w:rsidRPr="003E5059">
        <w:t>;21</w:t>
      </w:r>
      <w:proofErr w:type="gramEnd"/>
      <w:r w:rsidRPr="003E5059">
        <w:t>(2):108-30</w:t>
      </w:r>
    </w:p>
    <w:p w:rsidR="00B65452" w:rsidRDefault="00B65452" w:rsidP="00B65452">
      <w:pPr>
        <w:pStyle w:val="ListParagraph"/>
        <w:spacing w:after="0"/>
      </w:pPr>
    </w:p>
    <w:p w:rsidR="00B65452" w:rsidRDefault="00B65452" w:rsidP="00B65452">
      <w:pPr>
        <w:pStyle w:val="ListParagraph"/>
        <w:spacing w:after="0"/>
        <w:ind w:left="0"/>
      </w:pPr>
      <w:r>
        <w:t>Miller K</w:t>
      </w:r>
      <w:r w:rsidRPr="003E5059">
        <w:t xml:space="preserve">, </w:t>
      </w:r>
      <w:proofErr w:type="spellStart"/>
      <w:r w:rsidRPr="003E5059">
        <w:t>Goodlad</w:t>
      </w:r>
      <w:proofErr w:type="spellEnd"/>
      <w:r w:rsidRPr="003E5059">
        <w:t xml:space="preserve"> JR, Brenn T.</w:t>
      </w:r>
      <w:r>
        <w:t xml:space="preserve"> </w:t>
      </w:r>
      <w:r w:rsidRPr="003E5059">
        <w:t>Pleomorphic dermal sarcoma: adverse histologic features predict aggressive behavior and allow distinction from atypical fibroxanthoma.</w:t>
      </w:r>
      <w:r>
        <w:t xml:space="preserve"> </w:t>
      </w:r>
      <w:proofErr w:type="gramStart"/>
      <w:r w:rsidRPr="003E5059">
        <w:t xml:space="preserve">Am J </w:t>
      </w:r>
      <w:proofErr w:type="spellStart"/>
      <w:r w:rsidRPr="003E5059">
        <w:t>Surg</w:t>
      </w:r>
      <w:proofErr w:type="spellEnd"/>
      <w:r w:rsidRPr="003E5059">
        <w:t xml:space="preserve"> </w:t>
      </w:r>
      <w:proofErr w:type="spellStart"/>
      <w:r w:rsidRPr="003E5059">
        <w:t>Pathol</w:t>
      </w:r>
      <w:proofErr w:type="spellEnd"/>
      <w:r w:rsidRPr="003E5059">
        <w:t>.</w:t>
      </w:r>
      <w:proofErr w:type="gramEnd"/>
      <w:r w:rsidRPr="003E5059">
        <w:t xml:space="preserve"> 2012 Sep</w:t>
      </w:r>
      <w:proofErr w:type="gramStart"/>
      <w:r w:rsidRPr="003E5059">
        <w:t>;36</w:t>
      </w:r>
      <w:proofErr w:type="gramEnd"/>
      <w:r w:rsidRPr="003E5059">
        <w:t>(9):1317-26</w:t>
      </w:r>
    </w:p>
    <w:p w:rsidR="00B65452" w:rsidRDefault="00B65452" w:rsidP="00B65452">
      <w:pPr>
        <w:pStyle w:val="ListParagraph"/>
        <w:spacing w:after="0"/>
      </w:pPr>
    </w:p>
    <w:p w:rsidR="00B65452" w:rsidRDefault="00B65452" w:rsidP="00B65452">
      <w:proofErr w:type="spellStart"/>
      <w:proofErr w:type="gramStart"/>
      <w:r w:rsidRPr="003E5059">
        <w:t>Bhattacharjee</w:t>
      </w:r>
      <w:proofErr w:type="spellEnd"/>
      <w:r w:rsidRPr="003E5059">
        <w:t xml:space="preserve">, P. and </w:t>
      </w:r>
      <w:proofErr w:type="spellStart"/>
      <w:r w:rsidRPr="003E5059">
        <w:t>Lazova</w:t>
      </w:r>
      <w:proofErr w:type="spellEnd"/>
      <w:r w:rsidRPr="003E5059">
        <w:t>, R. (2005), Immunohistochemical Expression of Cutaneous Leiomyosarcoma.</w:t>
      </w:r>
      <w:proofErr w:type="gramEnd"/>
      <w:r w:rsidRPr="003E5059">
        <w:t xml:space="preserve"> Journal of Cutaneous Pathology, 32: 76. </w:t>
      </w:r>
    </w:p>
    <w:p w:rsidR="00B65452" w:rsidRPr="003E5059" w:rsidRDefault="00B65452" w:rsidP="00B65452">
      <w:proofErr w:type="spellStart"/>
      <w:r w:rsidRPr="003E5059">
        <w:t>Hultgren</w:t>
      </w:r>
      <w:proofErr w:type="spellEnd"/>
      <w:r w:rsidRPr="003E5059">
        <w:t xml:space="preserve"> TL, </w:t>
      </w:r>
      <w:proofErr w:type="spellStart"/>
      <w:r w:rsidRPr="003E5059">
        <w:t>DiMaio</w:t>
      </w:r>
      <w:proofErr w:type="spellEnd"/>
      <w:r w:rsidRPr="003E5059">
        <w:t xml:space="preserve"> DJ.</w:t>
      </w:r>
      <w:r>
        <w:t xml:space="preserve"> </w:t>
      </w:r>
      <w:proofErr w:type="gramStart"/>
      <w:r w:rsidRPr="003E5059">
        <w:t>Immunohistochemical staining of CD10 in atypical fibroxanthomas.</w:t>
      </w:r>
      <w:proofErr w:type="gramEnd"/>
      <w:r>
        <w:t xml:space="preserve"> </w:t>
      </w:r>
      <w:proofErr w:type="gramStart"/>
      <w:r w:rsidRPr="003E5059">
        <w:t xml:space="preserve">J </w:t>
      </w:r>
      <w:proofErr w:type="spellStart"/>
      <w:r w:rsidRPr="003E5059">
        <w:t>Cutan</w:t>
      </w:r>
      <w:proofErr w:type="spellEnd"/>
      <w:r w:rsidRPr="003E5059">
        <w:t xml:space="preserve"> </w:t>
      </w:r>
      <w:proofErr w:type="spellStart"/>
      <w:r w:rsidRPr="003E5059">
        <w:t>Pathol</w:t>
      </w:r>
      <w:proofErr w:type="spellEnd"/>
      <w:r w:rsidRPr="003E5059">
        <w:t>.</w:t>
      </w:r>
      <w:proofErr w:type="gramEnd"/>
      <w:r w:rsidRPr="003E5059">
        <w:t xml:space="preserve"> 2007 May</w:t>
      </w:r>
      <w:proofErr w:type="gramStart"/>
      <w:r w:rsidRPr="003E5059">
        <w:t>;34</w:t>
      </w:r>
      <w:proofErr w:type="gramEnd"/>
      <w:r w:rsidRPr="003E5059">
        <w:t>(5):415-9.</w:t>
      </w:r>
    </w:p>
    <w:p w:rsidR="00B65452" w:rsidRDefault="00B65452" w:rsidP="00B65452">
      <w:pPr>
        <w:pStyle w:val="ListParagraph"/>
        <w:spacing w:after="0"/>
      </w:pPr>
    </w:p>
    <w:p w:rsidR="00B65452" w:rsidRDefault="00B65452" w:rsidP="00B65452">
      <w:pPr>
        <w:pStyle w:val="ListParagraph"/>
        <w:spacing w:after="0"/>
      </w:pPr>
    </w:p>
    <w:p w:rsidR="00B65452" w:rsidRPr="007737F9" w:rsidRDefault="00B65452" w:rsidP="00B65452">
      <w:pPr>
        <w:spacing w:after="0"/>
      </w:pPr>
    </w:p>
    <w:p w:rsidR="00183C38" w:rsidRDefault="00183C38">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B65452" w:rsidRDefault="00B65452">
      <w:pPr>
        <w:pStyle w:val="normal0"/>
        <w:spacing w:after="0" w:line="240" w:lineRule="auto"/>
        <w:jc w:val="center"/>
      </w:pPr>
    </w:p>
    <w:p w:rsidR="006D6E5D" w:rsidRDefault="006D6E5D">
      <w:pPr>
        <w:pStyle w:val="normal0"/>
        <w:spacing w:after="0" w:line="240" w:lineRule="auto"/>
        <w:jc w:val="center"/>
      </w:pPr>
    </w:p>
    <w:p w:rsidR="006D6E5D" w:rsidRDefault="006D6E5D">
      <w:pPr>
        <w:pStyle w:val="normal0"/>
        <w:spacing w:after="0" w:line="240" w:lineRule="auto"/>
        <w:jc w:val="center"/>
      </w:pPr>
    </w:p>
    <w:p w:rsidR="006D6E5D" w:rsidRDefault="006D6E5D">
      <w:pPr>
        <w:pStyle w:val="normal0"/>
        <w:spacing w:after="0" w:line="240" w:lineRule="auto"/>
        <w:jc w:val="center"/>
        <w:rPr>
          <w:rFonts w:ascii="Arial" w:eastAsia="Arial" w:hAnsi="Arial" w:cs="Arial"/>
          <w:b/>
          <w:highlight w:val="white"/>
        </w:rPr>
      </w:pPr>
    </w:p>
    <w:p w:rsidR="006D6E5D" w:rsidRDefault="006D6E5D">
      <w:pPr>
        <w:pStyle w:val="normal0"/>
        <w:spacing w:after="0" w:line="240" w:lineRule="auto"/>
        <w:jc w:val="center"/>
        <w:rPr>
          <w:rFonts w:ascii="Arial" w:eastAsia="Arial" w:hAnsi="Arial" w:cs="Arial"/>
          <w:b/>
          <w:highlight w:val="white"/>
        </w:rPr>
      </w:pPr>
    </w:p>
    <w:p w:rsidR="006D6E5D" w:rsidRDefault="006D6E5D">
      <w:pPr>
        <w:pStyle w:val="normal0"/>
        <w:spacing w:after="0" w:line="240" w:lineRule="auto"/>
        <w:jc w:val="center"/>
        <w:rPr>
          <w:rFonts w:ascii="Arial" w:eastAsia="Arial" w:hAnsi="Arial" w:cs="Arial"/>
          <w:b/>
          <w:highlight w:val="white"/>
        </w:rPr>
      </w:pPr>
    </w:p>
    <w:p w:rsidR="00552495" w:rsidRDefault="00552495">
      <w:pPr>
        <w:pStyle w:val="normal0"/>
        <w:spacing w:after="0" w:line="240" w:lineRule="auto"/>
        <w:jc w:val="both"/>
      </w:pPr>
    </w:p>
    <w:p w:rsidR="00552495" w:rsidRDefault="008D18FE">
      <w:pPr>
        <w:pStyle w:val="normal0"/>
      </w:pPr>
      <w:r>
        <w:rPr>
          <w:rFonts w:ascii="Arial" w:eastAsia="Arial" w:hAnsi="Arial" w:cs="Arial"/>
          <w:b/>
          <w:u w:val="single"/>
        </w:rPr>
        <w:t>Case 5:</w:t>
      </w:r>
    </w:p>
    <w:p w:rsidR="00552495" w:rsidRDefault="008D18FE">
      <w:pPr>
        <w:pStyle w:val="normal0"/>
        <w:spacing w:after="0" w:line="240" w:lineRule="auto"/>
      </w:pPr>
      <w:r>
        <w:rPr>
          <w:rFonts w:ascii="Arial" w:eastAsia="Arial" w:hAnsi="Arial" w:cs="Arial"/>
          <w:b/>
        </w:rPr>
        <w:t xml:space="preserve">Presenter: </w:t>
      </w:r>
      <w:proofErr w:type="spellStart"/>
      <w:r>
        <w:rPr>
          <w:rFonts w:ascii="Arial" w:eastAsia="Arial" w:hAnsi="Arial" w:cs="Arial"/>
        </w:rPr>
        <w:t>Reema</w:t>
      </w:r>
      <w:proofErr w:type="spellEnd"/>
      <w:r>
        <w:rPr>
          <w:rFonts w:ascii="Arial" w:eastAsia="Arial" w:hAnsi="Arial" w:cs="Arial"/>
        </w:rPr>
        <w:t xml:space="preserve"> Khan MD, PGY II</w:t>
      </w:r>
    </w:p>
    <w:p w:rsidR="00552495" w:rsidRDefault="008D18FE">
      <w:pPr>
        <w:pStyle w:val="normal0"/>
        <w:spacing w:after="0" w:line="240" w:lineRule="auto"/>
      </w:pPr>
      <w:r>
        <w:rPr>
          <w:rFonts w:ascii="Arial" w:eastAsia="Arial" w:hAnsi="Arial" w:cs="Arial"/>
          <w:b/>
        </w:rPr>
        <w:t xml:space="preserve">Attendings: </w:t>
      </w:r>
      <w:proofErr w:type="spellStart"/>
      <w:r>
        <w:rPr>
          <w:rFonts w:ascii="Arial" w:eastAsia="Arial" w:hAnsi="Arial" w:cs="Arial"/>
        </w:rPr>
        <w:t>Dariusz</w:t>
      </w:r>
      <w:proofErr w:type="spellEnd"/>
      <w:r>
        <w:rPr>
          <w:rFonts w:ascii="Arial" w:eastAsia="Arial" w:hAnsi="Arial" w:cs="Arial"/>
        </w:rPr>
        <w:t xml:space="preserve"> </w:t>
      </w:r>
      <w:proofErr w:type="spellStart"/>
      <w:r>
        <w:rPr>
          <w:rFonts w:ascii="Arial" w:eastAsia="Arial" w:hAnsi="Arial" w:cs="Arial"/>
        </w:rPr>
        <w:t>Borys</w:t>
      </w:r>
      <w:proofErr w:type="spellEnd"/>
      <w:r>
        <w:rPr>
          <w:rFonts w:ascii="Arial" w:eastAsia="Arial" w:hAnsi="Arial" w:cs="Arial"/>
        </w:rPr>
        <w:t xml:space="preserve"> MD </w:t>
      </w:r>
    </w:p>
    <w:p w:rsidR="00552495" w:rsidRDefault="00552495">
      <w:pPr>
        <w:pStyle w:val="normal0"/>
        <w:spacing w:after="0" w:line="240" w:lineRule="auto"/>
      </w:pPr>
    </w:p>
    <w:p w:rsidR="00552495" w:rsidRDefault="008D18FE">
      <w:pPr>
        <w:pStyle w:val="normal0"/>
        <w:spacing w:line="240" w:lineRule="auto"/>
      </w:pPr>
      <w:r>
        <w:rPr>
          <w:rFonts w:ascii="Arial" w:eastAsia="Arial" w:hAnsi="Arial" w:cs="Arial"/>
          <w:b/>
        </w:rPr>
        <w:t>Clinical History:</w:t>
      </w:r>
      <w:r>
        <w:rPr>
          <w:rFonts w:ascii="Arial" w:eastAsia="Arial" w:hAnsi="Arial" w:cs="Arial"/>
        </w:rPr>
        <w:t xml:space="preserve"> 39 y/o female with PMH significant for nephrolithiasis who presents with L flank pain x5d, subjective fevers, chills, increased frequency. She describes her pain as dull, achy, 10/10 in severity, radiating down to LLQ, progressively worsening.  The patient has been passing 1-2 stones per month for the past year but has never </w:t>
      </w:r>
      <w:proofErr w:type="spellStart"/>
      <w:r>
        <w:rPr>
          <w:rFonts w:ascii="Arial" w:eastAsia="Arial" w:hAnsi="Arial" w:cs="Arial"/>
        </w:rPr>
        <w:t>seeked</w:t>
      </w:r>
      <w:proofErr w:type="spellEnd"/>
      <w:r>
        <w:rPr>
          <w:rFonts w:ascii="Arial" w:eastAsia="Arial" w:hAnsi="Arial" w:cs="Arial"/>
        </w:rPr>
        <w:t xml:space="preserve"> medical treatment prior to this episode. CT scan and MRI scan demonstrate </w:t>
      </w:r>
      <w:proofErr w:type="gramStart"/>
      <w:r>
        <w:rPr>
          <w:rFonts w:ascii="Arial" w:eastAsia="Arial" w:hAnsi="Arial" w:cs="Arial"/>
        </w:rPr>
        <w:t>an expansile bone lesions</w:t>
      </w:r>
      <w:proofErr w:type="gramEnd"/>
      <w:r>
        <w:rPr>
          <w:rFonts w:ascii="Arial" w:eastAsia="Arial" w:hAnsi="Arial" w:cs="Arial"/>
        </w:rPr>
        <w:t xml:space="preserve"> with cortical thinning and no soft tissue involvement. Orthopedic surgery was consulted and </w:t>
      </w:r>
      <w:proofErr w:type="gramStart"/>
      <w:r>
        <w:rPr>
          <w:rFonts w:ascii="Arial" w:eastAsia="Arial" w:hAnsi="Arial" w:cs="Arial"/>
        </w:rPr>
        <w:t>a curettage</w:t>
      </w:r>
      <w:proofErr w:type="gramEnd"/>
      <w:r>
        <w:rPr>
          <w:rFonts w:ascii="Arial" w:eastAsia="Arial" w:hAnsi="Arial" w:cs="Arial"/>
        </w:rPr>
        <w:t xml:space="preserve"> was performed. A representative section of the curettage is submitted for your review. </w:t>
      </w:r>
    </w:p>
    <w:p w:rsidR="00552495" w:rsidRDefault="00552495">
      <w:pPr>
        <w:pStyle w:val="normal0"/>
        <w:spacing w:line="240" w:lineRule="auto"/>
      </w:pPr>
    </w:p>
    <w:p w:rsidR="00552495" w:rsidRDefault="008D18FE">
      <w:pPr>
        <w:pStyle w:val="normal0"/>
        <w:spacing w:after="0" w:line="240" w:lineRule="auto"/>
      </w:pPr>
      <w:r>
        <w:rPr>
          <w:rFonts w:ascii="Arial" w:eastAsia="Arial" w:hAnsi="Arial" w:cs="Arial"/>
          <w:b/>
        </w:rPr>
        <w:t>Final Diagnosis:</w:t>
      </w:r>
      <w:r>
        <w:rPr>
          <w:rFonts w:ascii="Arial" w:eastAsia="Arial" w:hAnsi="Arial" w:cs="Arial"/>
        </w:rPr>
        <w:t xml:space="preserve"> Osteitis fibrosa imperfecta (a.k.a. Brown tumor of hyperparathyroidism)</w:t>
      </w:r>
    </w:p>
    <w:p w:rsidR="00552495" w:rsidRDefault="00552495">
      <w:pPr>
        <w:pStyle w:val="normal0"/>
        <w:spacing w:after="0" w:line="240" w:lineRule="auto"/>
      </w:pPr>
    </w:p>
    <w:p w:rsidR="00552495" w:rsidRDefault="008D18FE">
      <w:pPr>
        <w:pStyle w:val="normal0"/>
        <w:spacing w:after="0" w:line="240" w:lineRule="auto"/>
      </w:pPr>
      <w:r>
        <w:rPr>
          <w:rFonts w:ascii="Arial" w:eastAsia="Arial" w:hAnsi="Arial" w:cs="Arial"/>
          <w:b/>
        </w:rPr>
        <w:t>Differential Diagnosis:</w:t>
      </w:r>
    </w:p>
    <w:p w:rsidR="00552495" w:rsidRDefault="008D18FE">
      <w:pPr>
        <w:pStyle w:val="normal0"/>
        <w:spacing w:after="0" w:line="240" w:lineRule="auto"/>
      </w:pPr>
      <w:r>
        <w:rPr>
          <w:rFonts w:ascii="Arial" w:eastAsia="Arial" w:hAnsi="Arial" w:cs="Arial"/>
          <w:b/>
        </w:rPr>
        <w:tab/>
      </w:r>
      <w:r>
        <w:rPr>
          <w:rFonts w:ascii="Arial" w:eastAsia="Arial" w:hAnsi="Arial" w:cs="Arial"/>
        </w:rPr>
        <w:t xml:space="preserve">Giant Cell Rich Osteosarcoma </w:t>
      </w:r>
    </w:p>
    <w:p w:rsidR="00552495" w:rsidRDefault="008D18FE">
      <w:pPr>
        <w:pStyle w:val="normal0"/>
        <w:spacing w:after="0" w:line="240" w:lineRule="auto"/>
      </w:pPr>
      <w:r>
        <w:rPr>
          <w:rFonts w:ascii="Arial" w:eastAsia="Arial" w:hAnsi="Arial" w:cs="Arial"/>
        </w:rPr>
        <w:tab/>
        <w:t>Giant Cell Tumor</w:t>
      </w:r>
    </w:p>
    <w:p w:rsidR="00552495" w:rsidRDefault="008D18FE">
      <w:pPr>
        <w:pStyle w:val="normal0"/>
        <w:spacing w:after="0" w:line="240" w:lineRule="auto"/>
        <w:ind w:left="720"/>
      </w:pPr>
      <w:r>
        <w:rPr>
          <w:rFonts w:ascii="Arial" w:eastAsia="Arial" w:hAnsi="Arial" w:cs="Arial"/>
        </w:rPr>
        <w:t>Aneurysmal Bone Cyst</w:t>
      </w:r>
    </w:p>
    <w:p w:rsidR="00552495" w:rsidRDefault="008D18FE">
      <w:pPr>
        <w:pStyle w:val="normal0"/>
        <w:spacing w:after="0" w:line="240" w:lineRule="auto"/>
        <w:ind w:left="720"/>
      </w:pPr>
      <w:r>
        <w:rPr>
          <w:rFonts w:ascii="Arial" w:eastAsia="Arial" w:hAnsi="Arial" w:cs="Arial"/>
        </w:rPr>
        <w:t>Giant Cell Reparative Granuloma</w:t>
      </w:r>
    </w:p>
    <w:p w:rsidR="00552495" w:rsidRDefault="008D18FE">
      <w:pPr>
        <w:pStyle w:val="normal0"/>
        <w:spacing w:after="0" w:line="240" w:lineRule="auto"/>
        <w:ind w:firstLine="720"/>
      </w:pPr>
      <w:r>
        <w:rPr>
          <w:rFonts w:ascii="Arial" w:eastAsia="Arial" w:hAnsi="Arial" w:cs="Arial"/>
        </w:rPr>
        <w:t>Osteitis fibrosa cystica</w:t>
      </w:r>
    </w:p>
    <w:p w:rsidR="00552495" w:rsidRDefault="00552495">
      <w:pPr>
        <w:pStyle w:val="normal0"/>
        <w:spacing w:after="0" w:line="240" w:lineRule="auto"/>
      </w:pPr>
    </w:p>
    <w:p w:rsidR="00552495" w:rsidRDefault="008D18FE">
      <w:pPr>
        <w:pStyle w:val="normal0"/>
        <w:spacing w:after="0" w:line="240" w:lineRule="auto"/>
      </w:pPr>
      <w:r>
        <w:rPr>
          <w:rFonts w:ascii="Arial" w:eastAsia="Arial" w:hAnsi="Arial" w:cs="Arial"/>
          <w:b/>
        </w:rPr>
        <w:t>Key Features:</w:t>
      </w:r>
    </w:p>
    <w:p w:rsidR="00552495" w:rsidRDefault="008D18FE">
      <w:pPr>
        <w:pStyle w:val="normal0"/>
        <w:spacing w:after="0" w:line="240" w:lineRule="auto"/>
      </w:pPr>
      <w:r>
        <w:rPr>
          <w:rFonts w:ascii="Arial" w:eastAsia="Arial" w:hAnsi="Arial" w:cs="Arial"/>
          <w:u w:val="single"/>
        </w:rPr>
        <w:t xml:space="preserve">Histology: </w:t>
      </w:r>
    </w:p>
    <w:p w:rsidR="00552495" w:rsidRDefault="008D18FE">
      <w:pPr>
        <w:pStyle w:val="normal0"/>
        <w:spacing w:after="0" w:line="240" w:lineRule="auto"/>
      </w:pPr>
      <w:r>
        <w:rPr>
          <w:rFonts w:ascii="Arial" w:eastAsia="Arial" w:hAnsi="Arial" w:cs="Arial"/>
        </w:rPr>
        <w:t xml:space="preserve">Low power view shows hypocellular and hypercellular regions.  The hypercellular areas have aggregates of large cells admixed with hemorrhage and brown pigment deposition. Higher power shows diffusely scattered giant cells in a pink amorphous material background with fixed spindle-shaped stromal cells. </w:t>
      </w:r>
      <w:r>
        <w:rPr>
          <w:rFonts w:ascii="Arial" w:eastAsia="Arial" w:hAnsi="Arial" w:cs="Arial"/>
        </w:rPr>
        <w:tab/>
      </w:r>
    </w:p>
    <w:p w:rsidR="00552495" w:rsidRDefault="008D18FE">
      <w:pPr>
        <w:pStyle w:val="normal0"/>
        <w:spacing w:after="0" w:line="240" w:lineRule="auto"/>
      </w:pPr>
      <w:r>
        <w:rPr>
          <w:rFonts w:ascii="Arial" w:eastAsia="Arial" w:hAnsi="Arial" w:cs="Arial"/>
        </w:rPr>
        <w:tab/>
      </w:r>
      <w:r>
        <w:rPr>
          <w:rFonts w:ascii="Arial" w:eastAsia="Arial" w:hAnsi="Arial" w:cs="Arial"/>
        </w:rPr>
        <w:tab/>
      </w:r>
    </w:p>
    <w:p w:rsidR="00552495" w:rsidRDefault="008D18FE">
      <w:pPr>
        <w:pStyle w:val="normal0"/>
        <w:spacing w:after="0" w:line="240" w:lineRule="auto"/>
      </w:pPr>
      <w:r>
        <w:rPr>
          <w:rFonts w:ascii="Arial" w:eastAsia="Arial" w:hAnsi="Arial" w:cs="Arial"/>
        </w:rPr>
        <w:t xml:space="preserve"> </w:t>
      </w:r>
    </w:p>
    <w:p w:rsidR="00552495" w:rsidRDefault="00552495">
      <w:pPr>
        <w:pStyle w:val="normal0"/>
        <w:spacing w:after="0" w:line="240" w:lineRule="auto"/>
      </w:pPr>
    </w:p>
    <w:p w:rsidR="00552495" w:rsidRDefault="00552495">
      <w:pPr>
        <w:pStyle w:val="normal0"/>
        <w:spacing w:after="0" w:line="240" w:lineRule="auto"/>
      </w:pPr>
    </w:p>
    <w:p w:rsidR="00552495" w:rsidRDefault="008D18FE">
      <w:pPr>
        <w:pStyle w:val="normal0"/>
        <w:spacing w:after="0" w:line="240" w:lineRule="auto"/>
        <w:ind w:left="-270" w:right="-540"/>
      </w:pPr>
      <w:r>
        <w:rPr>
          <w:noProof/>
        </w:rPr>
        <w:lastRenderedPageBreak/>
        <w:drawing>
          <wp:inline distT="19050" distB="19050" distL="19050" distR="19050">
            <wp:extent cx="3258858" cy="2062163"/>
            <wp:effectExtent l="-598347" t="598347" r="-598347" b="598347"/>
            <wp:docPr id="6" name="image11.png" descr="brown tumor.tif"/>
            <wp:cNvGraphicFramePr/>
            <a:graphic xmlns:a="http://schemas.openxmlformats.org/drawingml/2006/main">
              <a:graphicData uri="http://schemas.openxmlformats.org/drawingml/2006/picture">
                <pic:pic xmlns:pic="http://schemas.openxmlformats.org/drawingml/2006/picture">
                  <pic:nvPicPr>
                    <pic:cNvPr id="0" name="image11.png" descr="brown tumor.tif"/>
                    <pic:cNvPicPr preferRelativeResize="0"/>
                  </pic:nvPicPr>
                  <pic:blipFill>
                    <a:blip r:embed="rId28" cstate="print"/>
                    <a:srcRect/>
                    <a:stretch>
                      <a:fillRect/>
                    </a:stretch>
                  </pic:blipFill>
                  <pic:spPr>
                    <a:xfrm rot="5400000">
                      <a:off x="0" y="0"/>
                      <a:ext cx="3258858" cy="2062163"/>
                    </a:xfrm>
                    <a:prstGeom prst="rect">
                      <a:avLst/>
                    </a:prstGeom>
                    <a:ln/>
                  </pic:spPr>
                </pic:pic>
              </a:graphicData>
            </a:graphic>
          </wp:inline>
        </w:drawing>
      </w:r>
      <w:r>
        <w:rPr>
          <w:rFonts w:ascii="Arial" w:eastAsia="Arial" w:hAnsi="Arial" w:cs="Arial"/>
        </w:rPr>
        <w:t xml:space="preserve"> </w:t>
      </w:r>
      <w:r>
        <w:rPr>
          <w:noProof/>
        </w:rPr>
        <w:drawing>
          <wp:inline distT="19050" distB="19050" distL="19050" distR="19050">
            <wp:extent cx="3254575" cy="2035183"/>
            <wp:effectExtent l="-609695" t="609696" r="-609695" b="609696"/>
            <wp:docPr id="3" name="image08.png" descr="brown tumor 3.tif"/>
            <wp:cNvGraphicFramePr/>
            <a:graphic xmlns:a="http://schemas.openxmlformats.org/drawingml/2006/main">
              <a:graphicData uri="http://schemas.openxmlformats.org/drawingml/2006/picture">
                <pic:pic xmlns:pic="http://schemas.openxmlformats.org/drawingml/2006/picture">
                  <pic:nvPicPr>
                    <pic:cNvPr id="0" name="image08.png" descr="brown tumor 3.tif"/>
                    <pic:cNvPicPr preferRelativeResize="0"/>
                  </pic:nvPicPr>
                  <pic:blipFill>
                    <a:blip r:embed="rId29" cstate="print"/>
                    <a:srcRect/>
                    <a:stretch>
                      <a:fillRect/>
                    </a:stretch>
                  </pic:blipFill>
                  <pic:spPr>
                    <a:xfrm rot="5400000">
                      <a:off x="0" y="0"/>
                      <a:ext cx="3254575" cy="2035183"/>
                    </a:xfrm>
                    <a:prstGeom prst="rect">
                      <a:avLst/>
                    </a:prstGeom>
                    <a:ln/>
                  </pic:spPr>
                </pic:pic>
              </a:graphicData>
            </a:graphic>
          </wp:inline>
        </w:drawing>
      </w:r>
      <w:r>
        <w:rPr>
          <w:rFonts w:ascii="Arial" w:eastAsia="Arial" w:hAnsi="Arial" w:cs="Arial"/>
        </w:rPr>
        <w:t xml:space="preserve"> </w:t>
      </w:r>
      <w:r>
        <w:rPr>
          <w:noProof/>
        </w:rPr>
        <w:drawing>
          <wp:inline distT="19050" distB="19050" distL="19050" distR="19050">
            <wp:extent cx="3243263" cy="2155132"/>
            <wp:effectExtent l="-544065" t="544065" r="-544065" b="544065"/>
            <wp:docPr id="1" name="image04.jpg" descr="brown  tumor 7.jpg"/>
            <wp:cNvGraphicFramePr/>
            <a:graphic xmlns:a="http://schemas.openxmlformats.org/drawingml/2006/main">
              <a:graphicData uri="http://schemas.openxmlformats.org/drawingml/2006/picture">
                <pic:pic xmlns:pic="http://schemas.openxmlformats.org/drawingml/2006/picture">
                  <pic:nvPicPr>
                    <pic:cNvPr id="0" name="image04.jpg" descr="brown  tumor 7.jpg"/>
                    <pic:cNvPicPr preferRelativeResize="0"/>
                  </pic:nvPicPr>
                  <pic:blipFill>
                    <a:blip r:embed="rId30" cstate="print"/>
                    <a:srcRect/>
                    <a:stretch>
                      <a:fillRect/>
                    </a:stretch>
                  </pic:blipFill>
                  <pic:spPr>
                    <a:xfrm rot="5400000">
                      <a:off x="0" y="0"/>
                      <a:ext cx="3243263" cy="2155132"/>
                    </a:xfrm>
                    <a:prstGeom prst="rect">
                      <a:avLst/>
                    </a:prstGeom>
                    <a:ln/>
                  </pic:spPr>
                </pic:pic>
              </a:graphicData>
            </a:graphic>
          </wp:inline>
        </w:drawing>
      </w:r>
    </w:p>
    <w:p w:rsidR="00552495" w:rsidRDefault="00552495">
      <w:pPr>
        <w:pStyle w:val="normal0"/>
        <w:spacing w:after="0" w:line="240" w:lineRule="auto"/>
      </w:pPr>
    </w:p>
    <w:p w:rsidR="00552495" w:rsidRDefault="008D18FE">
      <w:pPr>
        <w:pStyle w:val="normal0"/>
        <w:spacing w:after="0" w:line="240" w:lineRule="auto"/>
      </w:pPr>
      <w:r>
        <w:rPr>
          <w:rFonts w:ascii="Arial" w:eastAsia="Arial" w:hAnsi="Arial" w:cs="Arial"/>
          <w:b/>
        </w:rPr>
        <w:t>Discussion:</w:t>
      </w:r>
    </w:p>
    <w:p w:rsidR="00552495" w:rsidRDefault="008D18FE">
      <w:pPr>
        <w:pStyle w:val="normal0"/>
        <w:widowControl w:val="0"/>
        <w:numPr>
          <w:ilvl w:val="0"/>
          <w:numId w:val="3"/>
        </w:numPr>
        <w:spacing w:after="0" w:line="240" w:lineRule="auto"/>
        <w:ind w:hanging="360"/>
        <w:contextualSpacing/>
        <w:rPr>
          <w:rFonts w:ascii="Arial" w:eastAsia="Arial" w:hAnsi="Arial" w:cs="Arial"/>
        </w:rPr>
      </w:pPr>
      <w:r>
        <w:rPr>
          <w:rFonts w:ascii="Arial" w:eastAsia="Arial" w:hAnsi="Arial" w:cs="Arial"/>
        </w:rPr>
        <w:t>Brown tumor is a bone lesion that arises in settings of excess osteoclast activity, such as hyperparathyroidism. It is not a true neoplasm, as the term "tumor" suggests; however, it may mimic a true neoplasm.</w:t>
      </w:r>
    </w:p>
    <w:p w:rsidR="00552495" w:rsidRDefault="008D18FE">
      <w:pPr>
        <w:pStyle w:val="normal0"/>
        <w:widowControl w:val="0"/>
        <w:numPr>
          <w:ilvl w:val="0"/>
          <w:numId w:val="3"/>
        </w:numPr>
        <w:spacing w:after="0" w:line="240" w:lineRule="auto"/>
        <w:ind w:hanging="360"/>
        <w:contextualSpacing/>
        <w:rPr>
          <w:rFonts w:ascii="Arial" w:eastAsia="Arial" w:hAnsi="Arial" w:cs="Arial"/>
        </w:rPr>
      </w:pPr>
      <w:r>
        <w:rPr>
          <w:rFonts w:ascii="Arial" w:eastAsia="Arial" w:hAnsi="Arial" w:cs="Arial"/>
        </w:rPr>
        <w:t>These lesions are characterized by numerous giant cells, arranged in clusters or diffusely, in a background of mononuclear oval to spindle stromal cells. Vascularity is high and hemosiderin deposition may be abundant.</w:t>
      </w:r>
      <w:r>
        <w:rPr>
          <w:rFonts w:ascii="Arial" w:eastAsia="Arial" w:hAnsi="Arial" w:cs="Arial"/>
          <w:vertAlign w:val="superscript"/>
        </w:rPr>
        <w:t>1</w:t>
      </w:r>
      <w:r>
        <w:rPr>
          <w:rFonts w:ascii="Arial" w:eastAsia="Arial" w:hAnsi="Arial" w:cs="Arial"/>
        </w:rPr>
        <w:t> </w:t>
      </w:r>
    </w:p>
    <w:p w:rsidR="00552495" w:rsidRDefault="008D18FE">
      <w:pPr>
        <w:pStyle w:val="normal0"/>
        <w:widowControl w:val="0"/>
        <w:numPr>
          <w:ilvl w:val="0"/>
          <w:numId w:val="3"/>
        </w:numPr>
        <w:spacing w:after="0" w:line="240" w:lineRule="auto"/>
        <w:ind w:hanging="360"/>
        <w:contextualSpacing/>
        <w:rPr>
          <w:rFonts w:ascii="Arial" w:eastAsia="Arial" w:hAnsi="Arial" w:cs="Arial"/>
        </w:rPr>
      </w:pPr>
      <w:r>
        <w:rPr>
          <w:sz w:val="24"/>
          <w:szCs w:val="24"/>
        </w:rPr>
        <w:t>The osteoclasts consume the trabecular bone that osteoblasts lay down and this front of reparative bone deposition followed by additional resorption can expand beyond the usual shape of the bone, involving the periosteum thus causing bone pain. The characteristic brown coloration results from hemosiderin deposition into the osteolytic cysts. Hemosiderin deposition is not a distinctive feature of brown tumors; it may also be seen in giant cell tumors of the bone.</w:t>
      </w:r>
      <w:r>
        <w:rPr>
          <w:sz w:val="24"/>
          <w:szCs w:val="24"/>
          <w:vertAlign w:val="superscript"/>
        </w:rPr>
        <w:t>8</w:t>
      </w:r>
    </w:p>
    <w:p w:rsidR="00552495" w:rsidRDefault="008D18FE">
      <w:pPr>
        <w:pStyle w:val="normal0"/>
        <w:numPr>
          <w:ilvl w:val="0"/>
          <w:numId w:val="3"/>
        </w:numPr>
        <w:spacing w:after="0" w:line="240" w:lineRule="auto"/>
        <w:ind w:hanging="360"/>
        <w:rPr>
          <w:rFonts w:ascii="Arial" w:eastAsia="Arial" w:hAnsi="Arial" w:cs="Arial"/>
        </w:rPr>
      </w:pPr>
      <w:r>
        <w:rPr>
          <w:sz w:val="24"/>
          <w:szCs w:val="24"/>
        </w:rPr>
        <w:t>Brown tumors typically occur in the medullary shafts of long bones, ribs, mandible, metacarpals and pelvis.</w:t>
      </w:r>
      <w:r>
        <w:rPr>
          <w:sz w:val="24"/>
          <w:szCs w:val="24"/>
          <w:vertAlign w:val="superscript"/>
        </w:rPr>
        <w:t>4</w:t>
      </w:r>
    </w:p>
    <w:p w:rsidR="00552495" w:rsidRDefault="008D18FE">
      <w:pPr>
        <w:pStyle w:val="normal0"/>
        <w:widowControl w:val="0"/>
        <w:numPr>
          <w:ilvl w:val="0"/>
          <w:numId w:val="3"/>
        </w:numPr>
        <w:spacing w:after="0" w:line="240" w:lineRule="auto"/>
        <w:ind w:hanging="360"/>
        <w:contextualSpacing/>
        <w:rPr>
          <w:sz w:val="24"/>
          <w:szCs w:val="24"/>
        </w:rPr>
      </w:pPr>
      <w:r>
        <w:rPr>
          <w:sz w:val="24"/>
          <w:szCs w:val="24"/>
        </w:rPr>
        <w:t>The hallmark of PTH excess is increased osteoclastic activity, with bone resorption. This is seen by increased expression of RANKL (Receptor Activator Nuclear Kappa-B Ligand) on the osteoblast stromal cells.</w:t>
      </w:r>
      <w:r>
        <w:rPr>
          <w:sz w:val="24"/>
          <w:szCs w:val="24"/>
          <w:vertAlign w:val="superscript"/>
        </w:rPr>
        <w:t>8</w:t>
      </w:r>
    </w:p>
    <w:p w:rsidR="00552495" w:rsidRDefault="008D18FE">
      <w:pPr>
        <w:pStyle w:val="normal0"/>
        <w:widowControl w:val="0"/>
        <w:numPr>
          <w:ilvl w:val="0"/>
          <w:numId w:val="3"/>
        </w:numPr>
        <w:spacing w:after="0" w:line="240" w:lineRule="auto"/>
        <w:ind w:hanging="360"/>
        <w:contextualSpacing/>
        <w:rPr>
          <w:sz w:val="24"/>
          <w:szCs w:val="24"/>
        </w:rPr>
      </w:pPr>
      <w:r>
        <w:rPr>
          <w:rFonts w:ascii="Arial" w:eastAsia="Arial" w:hAnsi="Arial" w:cs="Arial"/>
          <w:highlight w:val="white"/>
        </w:rPr>
        <w:t>A diagnostic confusion arises mainly when the clinician encounters multiple lytic lesions involving different areas of the skeleton as was the case in our patient. About 90% of the patients with skeletal metastases present with multiple lesions. Clinically indistinguishable from malignant and/or metastatic lesions.</w:t>
      </w:r>
      <w:r>
        <w:rPr>
          <w:rFonts w:ascii="Arial" w:eastAsia="Arial" w:hAnsi="Arial" w:cs="Arial"/>
          <w:highlight w:val="white"/>
          <w:vertAlign w:val="superscript"/>
        </w:rPr>
        <w:t>2,9</w:t>
      </w:r>
    </w:p>
    <w:p w:rsidR="00552495" w:rsidRDefault="008D18FE">
      <w:pPr>
        <w:pStyle w:val="normal0"/>
        <w:numPr>
          <w:ilvl w:val="0"/>
          <w:numId w:val="3"/>
        </w:numPr>
        <w:spacing w:after="0" w:line="240" w:lineRule="auto"/>
        <w:ind w:hanging="360"/>
        <w:rPr>
          <w:rFonts w:ascii="Arial" w:eastAsia="Arial" w:hAnsi="Arial" w:cs="Arial"/>
        </w:rPr>
      </w:pPr>
      <w:r>
        <w:rPr>
          <w:rFonts w:ascii="Arial" w:eastAsia="Arial" w:hAnsi="Arial" w:cs="Arial"/>
        </w:rPr>
        <w:t xml:space="preserve">Take home messages: </w:t>
      </w:r>
    </w:p>
    <w:p w:rsidR="00552495" w:rsidRDefault="008D18FE">
      <w:pPr>
        <w:pStyle w:val="normal0"/>
        <w:numPr>
          <w:ilvl w:val="0"/>
          <w:numId w:val="1"/>
        </w:numPr>
        <w:spacing w:after="0" w:line="240" w:lineRule="auto"/>
        <w:ind w:hanging="360"/>
        <w:contextualSpacing/>
        <w:rPr>
          <w:rFonts w:ascii="Arial" w:eastAsia="Arial" w:hAnsi="Arial" w:cs="Arial"/>
        </w:rPr>
      </w:pPr>
      <w:r>
        <w:rPr>
          <w:rFonts w:ascii="Arial" w:eastAsia="Arial" w:hAnsi="Arial" w:cs="Arial"/>
        </w:rPr>
        <w:t xml:space="preserve">Osteitis fibrosa cystica has been known to mimic primary and metastatic bone lesions on radiology and pathology </w:t>
      </w:r>
    </w:p>
    <w:p w:rsidR="00552495" w:rsidRDefault="008D18FE">
      <w:pPr>
        <w:pStyle w:val="normal0"/>
        <w:numPr>
          <w:ilvl w:val="0"/>
          <w:numId w:val="1"/>
        </w:numPr>
        <w:spacing w:after="0" w:line="240" w:lineRule="auto"/>
        <w:ind w:hanging="360"/>
        <w:contextualSpacing/>
        <w:rPr>
          <w:rFonts w:ascii="Arial" w:eastAsia="Arial" w:hAnsi="Arial" w:cs="Arial"/>
        </w:rPr>
      </w:pPr>
      <w:r>
        <w:rPr>
          <w:rFonts w:ascii="Arial" w:eastAsia="Arial" w:hAnsi="Arial" w:cs="Arial"/>
        </w:rPr>
        <w:t>Pathology of Giant Cell Tumor and Giant Cell Reparative Granuloma are indistinguishable from this lesion hence a thorough clinical history and lab work-</w:t>
      </w:r>
      <w:r>
        <w:rPr>
          <w:rFonts w:ascii="Arial" w:eastAsia="Arial" w:hAnsi="Arial" w:cs="Arial"/>
        </w:rPr>
        <w:lastRenderedPageBreak/>
        <w:t>up must be done to make sure hyperparathyroidism is ruled out especially when the patient solely presents with bone lesions.</w:t>
      </w:r>
    </w:p>
    <w:p w:rsidR="00552495" w:rsidRDefault="008D18FE">
      <w:pPr>
        <w:pStyle w:val="normal0"/>
        <w:numPr>
          <w:ilvl w:val="0"/>
          <w:numId w:val="1"/>
        </w:numPr>
        <w:spacing w:after="0" w:line="240" w:lineRule="auto"/>
        <w:ind w:hanging="360"/>
        <w:contextualSpacing/>
        <w:rPr>
          <w:rFonts w:ascii="Arial" w:eastAsia="Arial" w:hAnsi="Arial" w:cs="Arial"/>
        </w:rPr>
      </w:pPr>
      <w:r>
        <w:rPr>
          <w:rFonts w:ascii="Arial" w:eastAsia="Arial" w:hAnsi="Arial" w:cs="Arial"/>
        </w:rPr>
        <w:t>Usually it is known to rule out osteitis fibrosa cystica when the lesion is in the head, neck and throat region.</w:t>
      </w:r>
    </w:p>
    <w:p w:rsidR="00552495" w:rsidRDefault="00552495">
      <w:pPr>
        <w:pStyle w:val="normal0"/>
        <w:spacing w:after="0" w:line="240" w:lineRule="auto"/>
        <w:ind w:left="720"/>
      </w:pPr>
    </w:p>
    <w:p w:rsidR="00552495" w:rsidRDefault="00552495">
      <w:pPr>
        <w:pStyle w:val="normal0"/>
        <w:spacing w:after="0" w:line="240" w:lineRule="auto"/>
      </w:pPr>
    </w:p>
    <w:p w:rsidR="00552495" w:rsidRDefault="008D18FE">
      <w:pPr>
        <w:pStyle w:val="normal0"/>
        <w:spacing w:after="0" w:line="240" w:lineRule="auto"/>
      </w:pPr>
      <w:r>
        <w:rPr>
          <w:rFonts w:ascii="Arial" w:eastAsia="Arial" w:hAnsi="Arial" w:cs="Arial"/>
          <w:b/>
        </w:rPr>
        <w:t>References</w:t>
      </w:r>
      <w:proofErr w:type="gramStart"/>
      <w:r>
        <w:rPr>
          <w:rFonts w:ascii="Arial" w:eastAsia="Arial" w:hAnsi="Arial" w:cs="Arial"/>
          <w:b/>
        </w:rPr>
        <w:t>:</w:t>
      </w:r>
      <w:r>
        <w:rPr>
          <w:rFonts w:ascii="Arial" w:eastAsia="Arial" w:hAnsi="Arial" w:cs="Arial"/>
          <w:b/>
          <w:vertAlign w:val="superscript"/>
        </w:rPr>
        <w:t>1</w:t>
      </w:r>
      <w:proofErr w:type="gramEnd"/>
      <w:r>
        <w:rPr>
          <w:rFonts w:ascii="Arial" w:eastAsia="Arial" w:hAnsi="Arial" w:cs="Arial"/>
          <w:b/>
          <w:vertAlign w:val="superscript"/>
        </w:rPr>
        <w:t>-9</w:t>
      </w:r>
      <w:r>
        <w:rPr>
          <w:rFonts w:ascii="Arial" w:eastAsia="Arial" w:hAnsi="Arial" w:cs="Arial"/>
          <w:b/>
        </w:rPr>
        <w:t xml:space="preserve"> </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Askanazy, M. (1904). </w:t>
      </w:r>
      <w:proofErr w:type="spellStart"/>
      <w:r>
        <w:rPr>
          <w:rFonts w:ascii="Arial" w:eastAsia="Arial" w:hAnsi="Arial" w:cs="Arial"/>
        </w:rPr>
        <w:t>Über</w:t>
      </w:r>
      <w:proofErr w:type="spellEnd"/>
      <w:r>
        <w:rPr>
          <w:rFonts w:ascii="Arial" w:eastAsia="Arial" w:hAnsi="Arial" w:cs="Arial"/>
        </w:rPr>
        <w:t xml:space="preserve"> Ostitis deformans ohne </w:t>
      </w:r>
      <w:proofErr w:type="spellStart"/>
      <w:r>
        <w:rPr>
          <w:rFonts w:ascii="Arial" w:eastAsia="Arial" w:hAnsi="Arial" w:cs="Arial"/>
        </w:rPr>
        <w:t>osteoides</w:t>
      </w:r>
      <w:proofErr w:type="spellEnd"/>
      <w:r>
        <w:rPr>
          <w:rFonts w:ascii="Arial" w:eastAsia="Arial" w:hAnsi="Arial" w:cs="Arial"/>
        </w:rPr>
        <w:t xml:space="preserve"> </w:t>
      </w:r>
      <w:proofErr w:type="spellStart"/>
      <w:r>
        <w:rPr>
          <w:rFonts w:ascii="Arial" w:eastAsia="Arial" w:hAnsi="Arial" w:cs="Arial"/>
        </w:rPr>
        <w:t>Gewebe</w:t>
      </w:r>
      <w:proofErr w:type="spellEnd"/>
      <w:r>
        <w:rPr>
          <w:rFonts w:ascii="Arial" w:eastAsia="Arial" w:hAnsi="Arial" w:cs="Arial"/>
        </w:rPr>
        <w:t xml:space="preserve">. </w:t>
      </w:r>
      <w:r>
        <w:rPr>
          <w:rFonts w:ascii="Arial" w:eastAsia="Arial" w:hAnsi="Arial" w:cs="Arial"/>
          <w:i/>
        </w:rPr>
        <w:t xml:space="preserve">Arb </w:t>
      </w:r>
      <w:proofErr w:type="spellStart"/>
      <w:r>
        <w:rPr>
          <w:rFonts w:ascii="Arial" w:eastAsia="Arial" w:hAnsi="Arial" w:cs="Arial"/>
          <w:i/>
        </w:rPr>
        <w:t>Geb</w:t>
      </w:r>
      <w:proofErr w:type="spellEnd"/>
      <w:r>
        <w:rPr>
          <w:rFonts w:ascii="Arial" w:eastAsia="Arial" w:hAnsi="Arial" w:cs="Arial"/>
          <w:i/>
        </w:rPr>
        <w:t xml:space="preserve"> </w:t>
      </w:r>
      <w:proofErr w:type="spellStart"/>
      <w:r>
        <w:rPr>
          <w:rFonts w:ascii="Arial" w:eastAsia="Arial" w:hAnsi="Arial" w:cs="Arial"/>
          <w:i/>
        </w:rPr>
        <w:t>Pathol</w:t>
      </w:r>
      <w:proofErr w:type="spellEnd"/>
      <w:r>
        <w:rPr>
          <w:rFonts w:ascii="Arial" w:eastAsia="Arial" w:hAnsi="Arial" w:cs="Arial"/>
          <w:i/>
        </w:rPr>
        <w:t xml:space="preserve"> </w:t>
      </w:r>
      <w:proofErr w:type="spellStart"/>
      <w:r>
        <w:rPr>
          <w:rFonts w:ascii="Arial" w:eastAsia="Arial" w:hAnsi="Arial" w:cs="Arial"/>
          <w:i/>
        </w:rPr>
        <w:t>Anat</w:t>
      </w:r>
      <w:proofErr w:type="spellEnd"/>
      <w:r>
        <w:rPr>
          <w:rFonts w:ascii="Arial" w:eastAsia="Arial" w:hAnsi="Arial" w:cs="Arial"/>
          <w:i/>
        </w:rPr>
        <w:t xml:space="preserve"> </w:t>
      </w:r>
      <w:proofErr w:type="spellStart"/>
      <w:r>
        <w:rPr>
          <w:rFonts w:ascii="Arial" w:eastAsia="Arial" w:hAnsi="Arial" w:cs="Arial"/>
          <w:i/>
        </w:rPr>
        <w:t>Institut</w:t>
      </w:r>
      <w:proofErr w:type="spellEnd"/>
      <w:r>
        <w:rPr>
          <w:rFonts w:ascii="Arial" w:eastAsia="Arial" w:hAnsi="Arial" w:cs="Arial"/>
          <w:i/>
        </w:rPr>
        <w:t xml:space="preserve"> </w:t>
      </w:r>
      <w:proofErr w:type="spellStart"/>
      <w:r>
        <w:rPr>
          <w:rFonts w:ascii="Arial" w:eastAsia="Arial" w:hAnsi="Arial" w:cs="Arial"/>
          <w:i/>
        </w:rPr>
        <w:t>zu</w:t>
      </w:r>
      <w:proofErr w:type="spellEnd"/>
      <w:r>
        <w:rPr>
          <w:rFonts w:ascii="Arial" w:eastAsia="Arial" w:hAnsi="Arial" w:cs="Arial"/>
          <w:i/>
        </w:rPr>
        <w:t xml:space="preserve"> Tübingen</w:t>
      </w:r>
      <w:r>
        <w:rPr>
          <w:rFonts w:ascii="Arial" w:eastAsia="Arial" w:hAnsi="Arial" w:cs="Arial"/>
        </w:rPr>
        <w:t xml:space="preserve">, </w:t>
      </w:r>
      <w:r>
        <w:rPr>
          <w:rFonts w:ascii="Arial" w:eastAsia="Arial" w:hAnsi="Arial" w:cs="Arial"/>
          <w:i/>
        </w:rPr>
        <w:t>4</w:t>
      </w:r>
      <w:r>
        <w:rPr>
          <w:rFonts w:ascii="Arial" w:eastAsia="Arial" w:hAnsi="Arial" w:cs="Arial"/>
        </w:rPr>
        <w:t>, 398-422.</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Bassler, T., Wong, E. T., &amp; </w:t>
      </w:r>
      <w:proofErr w:type="spellStart"/>
      <w:r>
        <w:rPr>
          <w:rFonts w:ascii="Arial" w:eastAsia="Arial" w:hAnsi="Arial" w:cs="Arial"/>
        </w:rPr>
        <w:t>Brynes</w:t>
      </w:r>
      <w:proofErr w:type="spellEnd"/>
      <w:r>
        <w:rPr>
          <w:rFonts w:ascii="Arial" w:eastAsia="Arial" w:hAnsi="Arial" w:cs="Arial"/>
        </w:rPr>
        <w:t>, R. K. (1993). Osteitis fibrosa cystica simulating metastatic tumor: an almost-forgotten relationship. </w:t>
      </w:r>
      <w:r>
        <w:rPr>
          <w:rFonts w:ascii="Arial" w:eastAsia="Arial" w:hAnsi="Arial" w:cs="Arial"/>
          <w:i/>
        </w:rPr>
        <w:t>American journal of clinical pathology</w:t>
      </w:r>
      <w:r>
        <w:rPr>
          <w:rFonts w:ascii="Arial" w:eastAsia="Arial" w:hAnsi="Arial" w:cs="Arial"/>
        </w:rPr>
        <w:t>, </w:t>
      </w:r>
      <w:r>
        <w:rPr>
          <w:rFonts w:ascii="Arial" w:eastAsia="Arial" w:hAnsi="Arial" w:cs="Arial"/>
          <w:i/>
        </w:rPr>
        <w:t>100</w:t>
      </w:r>
      <w:r>
        <w:rPr>
          <w:rFonts w:ascii="Arial" w:eastAsia="Arial" w:hAnsi="Arial" w:cs="Arial"/>
        </w:rPr>
        <w:t>(6), 697-700.</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Buchanan, W. W., </w:t>
      </w:r>
      <w:proofErr w:type="spellStart"/>
      <w:r>
        <w:rPr>
          <w:rFonts w:ascii="Arial" w:eastAsia="Arial" w:hAnsi="Arial" w:cs="Arial"/>
        </w:rPr>
        <w:t>Kraag</w:t>
      </w:r>
      <w:proofErr w:type="spellEnd"/>
      <w:r>
        <w:rPr>
          <w:rFonts w:ascii="Arial" w:eastAsia="Arial" w:hAnsi="Arial" w:cs="Arial"/>
        </w:rPr>
        <w:t xml:space="preserve">, G. R., Palmer, D. G., &amp; </w:t>
      </w:r>
      <w:proofErr w:type="spellStart"/>
      <w:r>
        <w:rPr>
          <w:rFonts w:ascii="Arial" w:eastAsia="Arial" w:hAnsi="Arial" w:cs="Arial"/>
        </w:rPr>
        <w:t>Cockshott</w:t>
      </w:r>
      <w:proofErr w:type="spellEnd"/>
      <w:r>
        <w:rPr>
          <w:rFonts w:ascii="Arial" w:eastAsia="Arial" w:hAnsi="Arial" w:cs="Arial"/>
        </w:rPr>
        <w:t xml:space="preserve">, W. P. (1981). The first recorded case of osteitis fibrosa cystica. </w:t>
      </w:r>
      <w:r>
        <w:rPr>
          <w:rFonts w:ascii="Arial" w:eastAsia="Arial" w:hAnsi="Arial" w:cs="Arial"/>
          <w:i/>
        </w:rPr>
        <w:t>Canadian Medical Association Journal</w:t>
      </w:r>
      <w:r>
        <w:rPr>
          <w:rFonts w:ascii="Arial" w:eastAsia="Arial" w:hAnsi="Arial" w:cs="Arial"/>
        </w:rPr>
        <w:t xml:space="preserve">, </w:t>
      </w:r>
      <w:r>
        <w:rPr>
          <w:rFonts w:ascii="Arial" w:eastAsia="Arial" w:hAnsi="Arial" w:cs="Arial"/>
          <w:i/>
        </w:rPr>
        <w:t>124</w:t>
      </w:r>
      <w:r>
        <w:rPr>
          <w:rFonts w:ascii="Arial" w:eastAsia="Arial" w:hAnsi="Arial" w:cs="Arial"/>
        </w:rPr>
        <w:t>(6), 812.</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Can, </w:t>
      </w:r>
      <w:proofErr w:type="gramStart"/>
      <w:r>
        <w:rPr>
          <w:rFonts w:ascii="Arial" w:eastAsia="Arial" w:hAnsi="Arial" w:cs="Arial"/>
        </w:rPr>
        <w:t>Ö.,</w:t>
      </w:r>
      <w:proofErr w:type="gramEnd"/>
      <w:r>
        <w:rPr>
          <w:rFonts w:ascii="Arial" w:eastAsia="Arial" w:hAnsi="Arial" w:cs="Arial"/>
        </w:rPr>
        <w:t xml:space="preserve"> </w:t>
      </w:r>
      <w:proofErr w:type="spellStart"/>
      <w:r>
        <w:rPr>
          <w:rFonts w:ascii="Arial" w:eastAsia="Arial" w:hAnsi="Arial" w:cs="Arial"/>
        </w:rPr>
        <w:t>Boynueğri</w:t>
      </w:r>
      <w:proofErr w:type="spellEnd"/>
      <w:r>
        <w:rPr>
          <w:rFonts w:ascii="Arial" w:eastAsia="Arial" w:hAnsi="Arial" w:cs="Arial"/>
        </w:rPr>
        <w:t xml:space="preserve">, B., </w:t>
      </w:r>
      <w:proofErr w:type="spellStart"/>
      <w:r>
        <w:rPr>
          <w:rFonts w:ascii="Arial" w:eastAsia="Arial" w:hAnsi="Arial" w:cs="Arial"/>
        </w:rPr>
        <w:t>Gökçe</w:t>
      </w:r>
      <w:proofErr w:type="spellEnd"/>
      <w:r>
        <w:rPr>
          <w:rFonts w:ascii="Arial" w:eastAsia="Arial" w:hAnsi="Arial" w:cs="Arial"/>
        </w:rPr>
        <w:t xml:space="preserve">, A. M., </w:t>
      </w:r>
      <w:proofErr w:type="spellStart"/>
      <w:r>
        <w:rPr>
          <w:rFonts w:ascii="Arial" w:eastAsia="Arial" w:hAnsi="Arial" w:cs="Arial"/>
        </w:rPr>
        <w:t>Özdemir</w:t>
      </w:r>
      <w:proofErr w:type="spellEnd"/>
      <w:r>
        <w:rPr>
          <w:rFonts w:ascii="Arial" w:eastAsia="Arial" w:hAnsi="Arial" w:cs="Arial"/>
        </w:rPr>
        <w:t xml:space="preserve">, E., </w:t>
      </w:r>
      <w:proofErr w:type="spellStart"/>
      <w:r>
        <w:rPr>
          <w:rFonts w:ascii="Arial" w:eastAsia="Arial" w:hAnsi="Arial" w:cs="Arial"/>
        </w:rPr>
        <w:t>Ferhatoğlu</w:t>
      </w:r>
      <w:proofErr w:type="spellEnd"/>
      <w:r>
        <w:rPr>
          <w:rFonts w:ascii="Arial" w:eastAsia="Arial" w:hAnsi="Arial" w:cs="Arial"/>
        </w:rPr>
        <w:t xml:space="preserve">, F., </w:t>
      </w:r>
      <w:proofErr w:type="spellStart"/>
      <w:r>
        <w:rPr>
          <w:rFonts w:ascii="Arial" w:eastAsia="Arial" w:hAnsi="Arial" w:cs="Arial"/>
        </w:rPr>
        <w:t>Canbakan</w:t>
      </w:r>
      <w:proofErr w:type="spellEnd"/>
      <w:r>
        <w:rPr>
          <w:rFonts w:ascii="Arial" w:eastAsia="Arial" w:hAnsi="Arial" w:cs="Arial"/>
        </w:rPr>
        <w:t xml:space="preserve">, M., ... &amp; </w:t>
      </w:r>
      <w:proofErr w:type="spellStart"/>
      <w:r>
        <w:rPr>
          <w:rFonts w:ascii="Arial" w:eastAsia="Arial" w:hAnsi="Arial" w:cs="Arial"/>
        </w:rPr>
        <w:t>Apaydın</w:t>
      </w:r>
      <w:proofErr w:type="spellEnd"/>
      <w:r>
        <w:rPr>
          <w:rFonts w:ascii="Arial" w:eastAsia="Arial" w:hAnsi="Arial" w:cs="Arial"/>
        </w:rPr>
        <w:t>, S. (2016). Brown Tumors: A Case Report and Review of the Literature. </w:t>
      </w:r>
      <w:r>
        <w:rPr>
          <w:rFonts w:ascii="Arial" w:eastAsia="Arial" w:hAnsi="Arial" w:cs="Arial"/>
          <w:i/>
        </w:rPr>
        <w:t>Case reports in nephrology and dialysis</w:t>
      </w:r>
      <w:r>
        <w:rPr>
          <w:rFonts w:ascii="Arial" w:eastAsia="Arial" w:hAnsi="Arial" w:cs="Arial"/>
        </w:rPr>
        <w:t>, </w:t>
      </w:r>
      <w:r>
        <w:rPr>
          <w:rFonts w:ascii="Arial" w:eastAsia="Arial" w:hAnsi="Arial" w:cs="Arial"/>
          <w:i/>
        </w:rPr>
        <w:t>6</w:t>
      </w:r>
      <w:r>
        <w:rPr>
          <w:rFonts w:ascii="Arial" w:eastAsia="Arial" w:hAnsi="Arial" w:cs="Arial"/>
        </w:rPr>
        <w:t>(1), 46-52.</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Felton, J. S. (1969). Man Medicine, and Work in America: An Historical Series: IV. Thomas </w:t>
      </w:r>
      <w:proofErr w:type="spellStart"/>
      <w:r>
        <w:rPr>
          <w:rFonts w:ascii="Arial" w:eastAsia="Arial" w:hAnsi="Arial" w:cs="Arial"/>
        </w:rPr>
        <w:t>Cadwalader</w:t>
      </w:r>
      <w:proofErr w:type="spellEnd"/>
      <w:r>
        <w:rPr>
          <w:rFonts w:ascii="Arial" w:eastAsia="Arial" w:hAnsi="Arial" w:cs="Arial"/>
        </w:rPr>
        <w:t xml:space="preserve">, MD Physician, Philadelphian and Philanthropist. </w:t>
      </w:r>
      <w:r>
        <w:rPr>
          <w:rFonts w:ascii="Arial" w:eastAsia="Arial" w:hAnsi="Arial" w:cs="Arial"/>
          <w:i/>
        </w:rPr>
        <w:t>Journal of Occupational and Environmental Medicine</w:t>
      </w:r>
      <w:r>
        <w:rPr>
          <w:rFonts w:ascii="Arial" w:eastAsia="Arial" w:hAnsi="Arial" w:cs="Arial"/>
        </w:rPr>
        <w:t xml:space="preserve">, </w:t>
      </w:r>
      <w:r>
        <w:rPr>
          <w:rFonts w:ascii="Arial" w:eastAsia="Arial" w:hAnsi="Arial" w:cs="Arial"/>
          <w:i/>
        </w:rPr>
        <w:t>11</w:t>
      </w:r>
      <w:r>
        <w:rPr>
          <w:rFonts w:ascii="Arial" w:eastAsia="Arial" w:hAnsi="Arial" w:cs="Arial"/>
        </w:rPr>
        <w:t>(7), 374-380.</w:t>
      </w:r>
    </w:p>
    <w:p w:rsidR="00552495" w:rsidRDefault="008D18FE">
      <w:pPr>
        <w:pStyle w:val="normal0"/>
        <w:widowControl w:val="0"/>
        <w:numPr>
          <w:ilvl w:val="0"/>
          <w:numId w:val="2"/>
        </w:numPr>
        <w:spacing w:after="0" w:line="240" w:lineRule="auto"/>
        <w:ind w:hanging="380"/>
        <w:contextualSpacing/>
      </w:pPr>
      <w:r>
        <w:rPr>
          <w:rFonts w:ascii="Arial" w:eastAsia="Arial" w:hAnsi="Arial" w:cs="Arial"/>
        </w:rPr>
        <w:t xml:space="preserve">Hoshi, M., </w:t>
      </w:r>
      <w:proofErr w:type="spellStart"/>
      <w:r>
        <w:rPr>
          <w:rFonts w:ascii="Arial" w:eastAsia="Arial" w:hAnsi="Arial" w:cs="Arial"/>
        </w:rPr>
        <w:t>Takami</w:t>
      </w:r>
      <w:proofErr w:type="spellEnd"/>
      <w:r>
        <w:rPr>
          <w:rFonts w:ascii="Arial" w:eastAsia="Arial" w:hAnsi="Arial" w:cs="Arial"/>
        </w:rPr>
        <w:t xml:space="preserve">, M., </w:t>
      </w:r>
      <w:proofErr w:type="spellStart"/>
      <w:r>
        <w:rPr>
          <w:rFonts w:ascii="Arial" w:eastAsia="Arial" w:hAnsi="Arial" w:cs="Arial"/>
        </w:rPr>
        <w:t>Kajikawa</w:t>
      </w:r>
      <w:proofErr w:type="spellEnd"/>
      <w:r>
        <w:rPr>
          <w:rFonts w:ascii="Arial" w:eastAsia="Arial" w:hAnsi="Arial" w:cs="Arial"/>
        </w:rPr>
        <w:t xml:space="preserve">, M., </w:t>
      </w:r>
      <w:proofErr w:type="spellStart"/>
      <w:r>
        <w:rPr>
          <w:rFonts w:ascii="Arial" w:eastAsia="Arial" w:hAnsi="Arial" w:cs="Arial"/>
        </w:rPr>
        <w:t>Teramura</w:t>
      </w:r>
      <w:proofErr w:type="spellEnd"/>
      <w:r>
        <w:rPr>
          <w:rFonts w:ascii="Arial" w:eastAsia="Arial" w:hAnsi="Arial" w:cs="Arial"/>
        </w:rPr>
        <w:t xml:space="preserve">, K., Okamoto, T., </w:t>
      </w:r>
      <w:proofErr w:type="spellStart"/>
      <w:r>
        <w:rPr>
          <w:rFonts w:ascii="Arial" w:eastAsia="Arial" w:hAnsi="Arial" w:cs="Arial"/>
        </w:rPr>
        <w:t>Yanagida</w:t>
      </w:r>
      <w:proofErr w:type="spellEnd"/>
      <w:r>
        <w:rPr>
          <w:rFonts w:ascii="Arial" w:eastAsia="Arial" w:hAnsi="Arial" w:cs="Arial"/>
        </w:rPr>
        <w:t>, I., &amp; Matsumura, A. (2008). A case of multiple skeletal lesions of brown tumors, mimicking carcinoma metastases. </w:t>
      </w:r>
      <w:r>
        <w:rPr>
          <w:rFonts w:ascii="Arial" w:eastAsia="Arial" w:hAnsi="Arial" w:cs="Arial"/>
          <w:i/>
        </w:rPr>
        <w:t>Archives of orthopaedic and trauma surgery</w:t>
      </w:r>
      <w:r>
        <w:rPr>
          <w:rFonts w:ascii="Arial" w:eastAsia="Arial" w:hAnsi="Arial" w:cs="Arial"/>
        </w:rPr>
        <w:t>, </w:t>
      </w:r>
      <w:r>
        <w:rPr>
          <w:rFonts w:ascii="Arial" w:eastAsia="Arial" w:hAnsi="Arial" w:cs="Arial"/>
          <w:i/>
        </w:rPr>
        <w:t>128</w:t>
      </w:r>
      <w:r>
        <w:rPr>
          <w:rFonts w:ascii="Arial" w:eastAsia="Arial" w:hAnsi="Arial" w:cs="Arial"/>
        </w:rPr>
        <w:t>(2), 149-154.</w:t>
      </w:r>
    </w:p>
    <w:p w:rsidR="00552495" w:rsidRDefault="008D18FE">
      <w:pPr>
        <w:pStyle w:val="normal0"/>
        <w:widowControl w:val="0"/>
        <w:numPr>
          <w:ilvl w:val="0"/>
          <w:numId w:val="2"/>
        </w:numPr>
        <w:spacing w:after="0" w:line="240" w:lineRule="auto"/>
        <w:ind w:hanging="380"/>
        <w:contextualSpacing/>
      </w:pPr>
      <w:proofErr w:type="spellStart"/>
      <w:r>
        <w:rPr>
          <w:rFonts w:ascii="Arial" w:eastAsia="Arial" w:hAnsi="Arial" w:cs="Arial"/>
        </w:rPr>
        <w:t>Khalil</w:t>
      </w:r>
      <w:proofErr w:type="spellEnd"/>
      <w:r>
        <w:rPr>
          <w:rFonts w:ascii="Arial" w:eastAsia="Arial" w:hAnsi="Arial" w:cs="Arial"/>
        </w:rPr>
        <w:t xml:space="preserve">, P. N., </w:t>
      </w:r>
      <w:proofErr w:type="spellStart"/>
      <w:r>
        <w:rPr>
          <w:rFonts w:ascii="Arial" w:eastAsia="Arial" w:hAnsi="Arial" w:cs="Arial"/>
        </w:rPr>
        <w:t>Heining</w:t>
      </w:r>
      <w:proofErr w:type="spellEnd"/>
      <w:r>
        <w:rPr>
          <w:rFonts w:ascii="Arial" w:eastAsia="Arial" w:hAnsi="Arial" w:cs="Arial"/>
        </w:rPr>
        <w:t xml:space="preserve">, S. M., Huss, R., </w:t>
      </w:r>
      <w:proofErr w:type="spellStart"/>
      <w:r>
        <w:rPr>
          <w:rFonts w:ascii="Arial" w:eastAsia="Arial" w:hAnsi="Arial" w:cs="Arial"/>
        </w:rPr>
        <w:t>Ihrler</w:t>
      </w:r>
      <w:proofErr w:type="spellEnd"/>
      <w:r>
        <w:rPr>
          <w:rFonts w:ascii="Arial" w:eastAsia="Arial" w:hAnsi="Arial" w:cs="Arial"/>
        </w:rPr>
        <w:t xml:space="preserve">, S., </w:t>
      </w:r>
      <w:proofErr w:type="spellStart"/>
      <w:r>
        <w:rPr>
          <w:rFonts w:ascii="Arial" w:eastAsia="Arial" w:hAnsi="Arial" w:cs="Arial"/>
        </w:rPr>
        <w:t>Siebeck</w:t>
      </w:r>
      <w:proofErr w:type="spellEnd"/>
      <w:r>
        <w:rPr>
          <w:rFonts w:ascii="Arial" w:eastAsia="Arial" w:hAnsi="Arial" w:cs="Arial"/>
        </w:rPr>
        <w:t xml:space="preserve">, M., </w:t>
      </w:r>
      <w:proofErr w:type="spellStart"/>
      <w:r>
        <w:rPr>
          <w:rFonts w:ascii="Arial" w:eastAsia="Arial" w:hAnsi="Arial" w:cs="Arial"/>
        </w:rPr>
        <w:t>Hallfeldt</w:t>
      </w:r>
      <w:proofErr w:type="spellEnd"/>
      <w:r>
        <w:rPr>
          <w:rFonts w:ascii="Arial" w:eastAsia="Arial" w:hAnsi="Arial" w:cs="Arial"/>
        </w:rPr>
        <w:t>, K</w:t>
      </w:r>
      <w:proofErr w:type="gramStart"/>
      <w:r>
        <w:rPr>
          <w:rFonts w:ascii="Arial" w:eastAsia="Arial" w:hAnsi="Arial" w:cs="Arial"/>
        </w:rPr>
        <w:t>., ...</w:t>
      </w:r>
      <w:proofErr w:type="gramEnd"/>
      <w:r>
        <w:rPr>
          <w:rFonts w:ascii="Arial" w:eastAsia="Arial" w:hAnsi="Arial" w:cs="Arial"/>
        </w:rPr>
        <w:t xml:space="preserve"> &amp; </w:t>
      </w:r>
      <w:proofErr w:type="spellStart"/>
      <w:r>
        <w:rPr>
          <w:rFonts w:ascii="Arial" w:eastAsia="Arial" w:hAnsi="Arial" w:cs="Arial"/>
        </w:rPr>
        <w:t>Mutschler</w:t>
      </w:r>
      <w:proofErr w:type="spellEnd"/>
      <w:r>
        <w:rPr>
          <w:rFonts w:ascii="Arial" w:eastAsia="Arial" w:hAnsi="Arial" w:cs="Arial"/>
        </w:rPr>
        <w:t xml:space="preserve">, W. (2007). Natural history and surgical treatment of brown tumor lesions at various sites in refractory primary </w:t>
      </w:r>
      <w:proofErr w:type="spellStart"/>
      <w:r>
        <w:rPr>
          <w:rFonts w:ascii="Arial" w:eastAsia="Arial" w:hAnsi="Arial" w:cs="Arial"/>
        </w:rPr>
        <w:t>hyperparathyroidism.</w:t>
      </w:r>
      <w:r>
        <w:rPr>
          <w:rFonts w:ascii="Arial" w:eastAsia="Arial" w:hAnsi="Arial" w:cs="Arial"/>
          <w:i/>
        </w:rPr>
        <w:t>European</w:t>
      </w:r>
      <w:proofErr w:type="spellEnd"/>
      <w:r>
        <w:rPr>
          <w:rFonts w:ascii="Arial" w:eastAsia="Arial" w:hAnsi="Arial" w:cs="Arial"/>
          <w:i/>
        </w:rPr>
        <w:t xml:space="preserve"> journal of medical research</w:t>
      </w:r>
      <w:r>
        <w:rPr>
          <w:rFonts w:ascii="Arial" w:eastAsia="Arial" w:hAnsi="Arial" w:cs="Arial"/>
        </w:rPr>
        <w:t>, </w:t>
      </w:r>
      <w:r>
        <w:rPr>
          <w:rFonts w:ascii="Arial" w:eastAsia="Arial" w:hAnsi="Arial" w:cs="Arial"/>
          <w:i/>
        </w:rPr>
        <w:t>12</w:t>
      </w:r>
      <w:r>
        <w:rPr>
          <w:rFonts w:ascii="Arial" w:eastAsia="Arial" w:hAnsi="Arial" w:cs="Arial"/>
        </w:rPr>
        <w:t>(5), 222.</w:t>
      </w:r>
    </w:p>
    <w:p w:rsidR="00552495" w:rsidRDefault="008D18FE">
      <w:pPr>
        <w:pStyle w:val="normal0"/>
        <w:widowControl w:val="0"/>
        <w:numPr>
          <w:ilvl w:val="0"/>
          <w:numId w:val="2"/>
        </w:numPr>
        <w:spacing w:after="0" w:line="240" w:lineRule="auto"/>
        <w:ind w:hanging="380"/>
        <w:contextualSpacing/>
      </w:pPr>
      <w:r>
        <w:rPr>
          <w:rFonts w:ascii="Arial" w:eastAsia="Arial" w:hAnsi="Arial" w:cs="Arial"/>
          <w:color w:val="222222"/>
          <w:highlight w:val="white"/>
        </w:rPr>
        <w:t xml:space="preserve">Kumar, V., </w:t>
      </w:r>
      <w:proofErr w:type="spellStart"/>
      <w:r>
        <w:rPr>
          <w:rFonts w:ascii="Arial" w:eastAsia="Arial" w:hAnsi="Arial" w:cs="Arial"/>
          <w:color w:val="222222"/>
          <w:highlight w:val="white"/>
        </w:rPr>
        <w:t>Abbas</w:t>
      </w:r>
      <w:proofErr w:type="spellEnd"/>
      <w:r>
        <w:rPr>
          <w:rFonts w:ascii="Arial" w:eastAsia="Arial" w:hAnsi="Arial" w:cs="Arial"/>
          <w:color w:val="222222"/>
          <w:highlight w:val="white"/>
        </w:rPr>
        <w:t xml:space="preserve">, A. K., </w:t>
      </w:r>
      <w:proofErr w:type="spellStart"/>
      <w:r>
        <w:rPr>
          <w:rFonts w:ascii="Arial" w:eastAsia="Arial" w:hAnsi="Arial" w:cs="Arial"/>
          <w:color w:val="222222"/>
          <w:highlight w:val="white"/>
        </w:rPr>
        <w:t>Fausto</w:t>
      </w:r>
      <w:proofErr w:type="spellEnd"/>
      <w:r>
        <w:rPr>
          <w:rFonts w:ascii="Arial" w:eastAsia="Arial" w:hAnsi="Arial" w:cs="Arial"/>
          <w:color w:val="222222"/>
          <w:highlight w:val="white"/>
        </w:rPr>
        <w:t xml:space="preserve">, N., &amp; Aster, J. C. (2014). </w:t>
      </w:r>
      <w:r>
        <w:rPr>
          <w:rFonts w:ascii="Arial" w:eastAsia="Arial" w:hAnsi="Arial" w:cs="Arial"/>
          <w:i/>
          <w:color w:val="222222"/>
        </w:rPr>
        <w:t xml:space="preserve">Robbins and </w:t>
      </w:r>
      <w:proofErr w:type="spellStart"/>
      <w:r>
        <w:rPr>
          <w:rFonts w:ascii="Arial" w:eastAsia="Arial" w:hAnsi="Arial" w:cs="Arial"/>
          <w:i/>
          <w:color w:val="222222"/>
        </w:rPr>
        <w:t>Cotran</w:t>
      </w:r>
      <w:proofErr w:type="spellEnd"/>
      <w:r>
        <w:rPr>
          <w:rFonts w:ascii="Arial" w:eastAsia="Arial" w:hAnsi="Arial" w:cs="Arial"/>
          <w:i/>
          <w:color w:val="222222"/>
        </w:rPr>
        <w:t xml:space="preserve"> pathologic basis of disease</w:t>
      </w:r>
      <w:r>
        <w:rPr>
          <w:rFonts w:ascii="Arial" w:eastAsia="Arial" w:hAnsi="Arial" w:cs="Arial"/>
          <w:color w:val="222222"/>
          <w:highlight w:val="white"/>
        </w:rPr>
        <w:t>. Elsevier Health Sciences.</w:t>
      </w:r>
    </w:p>
    <w:p w:rsidR="00552495" w:rsidRDefault="008D18FE">
      <w:pPr>
        <w:pStyle w:val="normal0"/>
        <w:widowControl w:val="0"/>
        <w:numPr>
          <w:ilvl w:val="0"/>
          <w:numId w:val="2"/>
        </w:numPr>
        <w:spacing w:after="0" w:line="240" w:lineRule="auto"/>
        <w:ind w:hanging="380"/>
        <w:contextualSpacing/>
      </w:pPr>
      <w:proofErr w:type="spellStart"/>
      <w:r>
        <w:rPr>
          <w:rFonts w:ascii="Arial" w:eastAsia="Arial" w:hAnsi="Arial" w:cs="Arial"/>
        </w:rPr>
        <w:t>Meydan</w:t>
      </w:r>
      <w:proofErr w:type="spellEnd"/>
      <w:r>
        <w:rPr>
          <w:rFonts w:ascii="Arial" w:eastAsia="Arial" w:hAnsi="Arial" w:cs="Arial"/>
        </w:rPr>
        <w:t xml:space="preserve">, N., </w:t>
      </w:r>
      <w:proofErr w:type="spellStart"/>
      <w:r>
        <w:rPr>
          <w:rFonts w:ascii="Arial" w:eastAsia="Arial" w:hAnsi="Arial" w:cs="Arial"/>
        </w:rPr>
        <w:t>Barutca</w:t>
      </w:r>
      <w:proofErr w:type="spellEnd"/>
      <w:r>
        <w:rPr>
          <w:rFonts w:ascii="Arial" w:eastAsia="Arial" w:hAnsi="Arial" w:cs="Arial"/>
        </w:rPr>
        <w:t xml:space="preserve">, S., </w:t>
      </w:r>
      <w:proofErr w:type="spellStart"/>
      <w:r>
        <w:rPr>
          <w:rFonts w:ascii="Arial" w:eastAsia="Arial" w:hAnsi="Arial" w:cs="Arial"/>
        </w:rPr>
        <w:t>Guney</w:t>
      </w:r>
      <w:proofErr w:type="spellEnd"/>
      <w:r>
        <w:rPr>
          <w:rFonts w:ascii="Arial" w:eastAsia="Arial" w:hAnsi="Arial" w:cs="Arial"/>
        </w:rPr>
        <w:t xml:space="preserve">, E., </w:t>
      </w:r>
      <w:proofErr w:type="spellStart"/>
      <w:r>
        <w:rPr>
          <w:rFonts w:ascii="Arial" w:eastAsia="Arial" w:hAnsi="Arial" w:cs="Arial"/>
        </w:rPr>
        <w:t>Boylu</w:t>
      </w:r>
      <w:proofErr w:type="spellEnd"/>
      <w:r>
        <w:rPr>
          <w:rFonts w:ascii="Arial" w:eastAsia="Arial" w:hAnsi="Arial" w:cs="Arial"/>
        </w:rPr>
        <w:t xml:space="preserve">, S., </w:t>
      </w:r>
      <w:proofErr w:type="spellStart"/>
      <w:r>
        <w:rPr>
          <w:rFonts w:ascii="Arial" w:eastAsia="Arial" w:hAnsi="Arial" w:cs="Arial"/>
        </w:rPr>
        <w:t>Savk</w:t>
      </w:r>
      <w:proofErr w:type="spellEnd"/>
      <w:r>
        <w:rPr>
          <w:rFonts w:ascii="Arial" w:eastAsia="Arial" w:hAnsi="Arial" w:cs="Arial"/>
        </w:rPr>
        <w:t xml:space="preserve">, O., </w:t>
      </w:r>
      <w:proofErr w:type="spellStart"/>
      <w:r>
        <w:rPr>
          <w:rFonts w:ascii="Arial" w:eastAsia="Arial" w:hAnsi="Arial" w:cs="Arial"/>
        </w:rPr>
        <w:t>Culhaci</w:t>
      </w:r>
      <w:proofErr w:type="spellEnd"/>
      <w:r>
        <w:rPr>
          <w:rFonts w:ascii="Arial" w:eastAsia="Arial" w:hAnsi="Arial" w:cs="Arial"/>
        </w:rPr>
        <w:t xml:space="preserve">, N., &amp; </w:t>
      </w:r>
      <w:proofErr w:type="spellStart"/>
      <w:r>
        <w:rPr>
          <w:rFonts w:ascii="Arial" w:eastAsia="Arial" w:hAnsi="Arial" w:cs="Arial"/>
        </w:rPr>
        <w:t>Ayhan</w:t>
      </w:r>
      <w:proofErr w:type="spellEnd"/>
      <w:r>
        <w:rPr>
          <w:rFonts w:ascii="Arial" w:eastAsia="Arial" w:hAnsi="Arial" w:cs="Arial"/>
        </w:rPr>
        <w:t>, M. (2006). Brown tumors mimicking bone metastases. </w:t>
      </w:r>
      <w:r>
        <w:rPr>
          <w:rFonts w:ascii="Arial" w:eastAsia="Arial" w:hAnsi="Arial" w:cs="Arial"/>
          <w:i/>
        </w:rPr>
        <w:t xml:space="preserve">Journal of </w:t>
      </w:r>
      <w:proofErr w:type="gramStart"/>
      <w:r>
        <w:rPr>
          <w:rFonts w:ascii="Arial" w:eastAsia="Arial" w:hAnsi="Arial" w:cs="Arial"/>
          <w:i/>
        </w:rPr>
        <w:t>The</w:t>
      </w:r>
      <w:proofErr w:type="gramEnd"/>
      <w:r>
        <w:rPr>
          <w:rFonts w:ascii="Arial" w:eastAsia="Arial" w:hAnsi="Arial" w:cs="Arial"/>
          <w:i/>
        </w:rPr>
        <w:t xml:space="preserve"> National Medical Association</w:t>
      </w:r>
      <w:r>
        <w:rPr>
          <w:rFonts w:ascii="Arial" w:eastAsia="Arial" w:hAnsi="Arial" w:cs="Arial"/>
        </w:rPr>
        <w:t>, </w:t>
      </w:r>
      <w:r>
        <w:rPr>
          <w:rFonts w:ascii="Arial" w:eastAsia="Arial" w:hAnsi="Arial" w:cs="Arial"/>
          <w:i/>
        </w:rPr>
        <w:t>98</w:t>
      </w:r>
      <w:r>
        <w:rPr>
          <w:rFonts w:ascii="Arial" w:eastAsia="Arial" w:hAnsi="Arial" w:cs="Arial"/>
        </w:rPr>
        <w:t>(6), 950.</w:t>
      </w:r>
    </w:p>
    <w:p w:rsidR="00552495" w:rsidRDefault="008D18FE">
      <w:pPr>
        <w:pStyle w:val="normal0"/>
        <w:widowControl w:val="0"/>
        <w:numPr>
          <w:ilvl w:val="0"/>
          <w:numId w:val="2"/>
        </w:numPr>
        <w:spacing w:after="0" w:line="240" w:lineRule="auto"/>
        <w:ind w:hanging="380"/>
        <w:contextualSpacing/>
      </w:pPr>
      <w:proofErr w:type="spellStart"/>
      <w:r>
        <w:rPr>
          <w:rFonts w:ascii="Arial" w:eastAsia="Arial" w:hAnsi="Arial" w:cs="Arial"/>
          <w:color w:val="222222"/>
          <w:highlight w:val="white"/>
        </w:rPr>
        <w:t>Ullah</w:t>
      </w:r>
      <w:proofErr w:type="spellEnd"/>
      <w:r>
        <w:rPr>
          <w:rFonts w:ascii="Arial" w:eastAsia="Arial" w:hAnsi="Arial" w:cs="Arial"/>
          <w:color w:val="222222"/>
          <w:highlight w:val="white"/>
        </w:rPr>
        <w:t xml:space="preserve">, E., Ahmad, M., Ali, S. A., &amp; </w:t>
      </w:r>
      <w:proofErr w:type="spellStart"/>
      <w:r>
        <w:rPr>
          <w:rFonts w:ascii="Arial" w:eastAsia="Arial" w:hAnsi="Arial" w:cs="Arial"/>
          <w:color w:val="222222"/>
          <w:highlight w:val="white"/>
        </w:rPr>
        <w:t>Redhu</w:t>
      </w:r>
      <w:proofErr w:type="spellEnd"/>
      <w:r>
        <w:rPr>
          <w:rFonts w:ascii="Arial" w:eastAsia="Arial" w:hAnsi="Arial" w:cs="Arial"/>
          <w:color w:val="222222"/>
          <w:highlight w:val="white"/>
        </w:rPr>
        <w:t xml:space="preserve">, N. (2012). Primary hyperparathyroidism having multiple Brown tumors mimicking </w:t>
      </w:r>
      <w:proofErr w:type="spellStart"/>
      <w:r>
        <w:rPr>
          <w:rFonts w:ascii="Arial" w:eastAsia="Arial" w:hAnsi="Arial" w:cs="Arial"/>
          <w:color w:val="222222"/>
          <w:highlight w:val="white"/>
        </w:rPr>
        <w:t>malignancy.</w:t>
      </w:r>
      <w:r>
        <w:rPr>
          <w:rFonts w:ascii="Arial" w:eastAsia="Arial" w:hAnsi="Arial" w:cs="Arial"/>
          <w:i/>
          <w:color w:val="222222"/>
          <w:highlight w:val="white"/>
        </w:rPr>
        <w:t>Indian</w:t>
      </w:r>
      <w:proofErr w:type="spellEnd"/>
      <w:r>
        <w:rPr>
          <w:rFonts w:ascii="Arial" w:eastAsia="Arial" w:hAnsi="Arial" w:cs="Arial"/>
          <w:i/>
          <w:color w:val="222222"/>
          <w:highlight w:val="white"/>
        </w:rPr>
        <w:t xml:space="preserve"> journal of endocrinology and metabolism</w:t>
      </w:r>
      <w:r>
        <w:rPr>
          <w:rFonts w:ascii="Arial" w:eastAsia="Arial" w:hAnsi="Arial" w:cs="Arial"/>
          <w:color w:val="222222"/>
          <w:highlight w:val="white"/>
        </w:rPr>
        <w:t xml:space="preserve">, </w:t>
      </w:r>
      <w:r>
        <w:rPr>
          <w:rFonts w:ascii="Arial" w:eastAsia="Arial" w:hAnsi="Arial" w:cs="Arial"/>
          <w:i/>
          <w:color w:val="222222"/>
          <w:highlight w:val="white"/>
        </w:rPr>
        <w:t>16</w:t>
      </w:r>
      <w:r>
        <w:rPr>
          <w:rFonts w:ascii="Arial" w:eastAsia="Arial" w:hAnsi="Arial" w:cs="Arial"/>
          <w:color w:val="222222"/>
          <w:highlight w:val="white"/>
        </w:rPr>
        <w:t>(6), 1040.</w:t>
      </w:r>
    </w:p>
    <w:p w:rsidR="00552495" w:rsidRDefault="00552495">
      <w:pPr>
        <w:pStyle w:val="normal0"/>
        <w:spacing w:after="0" w:line="240" w:lineRule="auto"/>
      </w:pPr>
    </w:p>
    <w:p w:rsidR="00552495" w:rsidRDefault="00552495">
      <w:pPr>
        <w:pStyle w:val="normal0"/>
        <w:spacing w:after="0" w:line="240" w:lineRule="auto"/>
      </w:pPr>
    </w:p>
    <w:p w:rsidR="00552495" w:rsidRDefault="00552495">
      <w:pPr>
        <w:pStyle w:val="normal0"/>
      </w:pPr>
    </w:p>
    <w:p w:rsidR="003307EA" w:rsidRDefault="003307EA">
      <w:pPr>
        <w:pStyle w:val="normal0"/>
      </w:pPr>
    </w:p>
    <w:p w:rsidR="003307EA" w:rsidRDefault="003307EA">
      <w:pPr>
        <w:pStyle w:val="normal0"/>
      </w:pPr>
    </w:p>
    <w:p w:rsidR="003307EA" w:rsidRPr="00443F50" w:rsidRDefault="003307EA" w:rsidP="003307EA">
      <w:pPr>
        <w:rPr>
          <w:rFonts w:cs="Arial"/>
          <w:sz w:val="20"/>
          <w:szCs w:val="20"/>
        </w:rPr>
      </w:pPr>
    </w:p>
    <w:p w:rsidR="003307EA" w:rsidRPr="00443F50" w:rsidRDefault="003307EA" w:rsidP="003307EA">
      <w:pPr>
        <w:rPr>
          <w:rFonts w:cs="Arial"/>
          <w:b/>
          <w:sz w:val="20"/>
          <w:szCs w:val="20"/>
          <w:u w:val="single"/>
        </w:rPr>
      </w:pPr>
      <w:r w:rsidRPr="00443F50">
        <w:rPr>
          <w:rFonts w:cs="Arial"/>
          <w:b/>
          <w:sz w:val="20"/>
          <w:szCs w:val="20"/>
          <w:u w:val="single"/>
        </w:rPr>
        <w:lastRenderedPageBreak/>
        <w:t>Case 6</w:t>
      </w:r>
    </w:p>
    <w:p w:rsidR="003307EA" w:rsidRPr="00443F50" w:rsidRDefault="003307EA" w:rsidP="003307EA">
      <w:pPr>
        <w:rPr>
          <w:rFonts w:cs="Arial"/>
          <w:sz w:val="20"/>
          <w:szCs w:val="20"/>
        </w:rPr>
      </w:pPr>
      <w:r w:rsidRPr="00443F50">
        <w:rPr>
          <w:rFonts w:cs="Arial"/>
          <w:b/>
          <w:sz w:val="20"/>
          <w:szCs w:val="20"/>
        </w:rPr>
        <w:t>Presenter:</w:t>
      </w:r>
      <w:r w:rsidRPr="00443F50">
        <w:rPr>
          <w:rFonts w:cs="Arial"/>
          <w:sz w:val="20"/>
          <w:szCs w:val="20"/>
        </w:rPr>
        <w:t xml:space="preserve">  </w:t>
      </w:r>
      <w:proofErr w:type="spellStart"/>
      <w:r>
        <w:rPr>
          <w:rFonts w:cs="Arial"/>
          <w:sz w:val="20"/>
          <w:szCs w:val="20"/>
        </w:rPr>
        <w:t>Vamsi</w:t>
      </w:r>
      <w:proofErr w:type="spellEnd"/>
      <w:r>
        <w:rPr>
          <w:rFonts w:cs="Arial"/>
          <w:sz w:val="20"/>
          <w:szCs w:val="20"/>
        </w:rPr>
        <w:t xml:space="preserve"> </w:t>
      </w:r>
      <w:proofErr w:type="spellStart"/>
      <w:r>
        <w:rPr>
          <w:rFonts w:cs="Arial"/>
          <w:sz w:val="20"/>
          <w:szCs w:val="20"/>
        </w:rPr>
        <w:t>Parini</w:t>
      </w:r>
      <w:proofErr w:type="spellEnd"/>
      <w:r>
        <w:rPr>
          <w:rFonts w:cs="Arial"/>
          <w:sz w:val="20"/>
          <w:szCs w:val="20"/>
        </w:rPr>
        <w:t xml:space="preserve"> MD, MPH</w:t>
      </w:r>
    </w:p>
    <w:p w:rsidR="003307EA" w:rsidRPr="00443F50" w:rsidRDefault="003307EA" w:rsidP="003307EA">
      <w:pPr>
        <w:rPr>
          <w:rFonts w:cs="Arial"/>
          <w:sz w:val="20"/>
          <w:szCs w:val="20"/>
        </w:rPr>
      </w:pPr>
      <w:r w:rsidRPr="00443F50">
        <w:rPr>
          <w:rFonts w:cs="Arial"/>
          <w:b/>
          <w:sz w:val="20"/>
          <w:szCs w:val="20"/>
        </w:rPr>
        <w:t>Attending:</w:t>
      </w:r>
      <w:r w:rsidRPr="00443F50">
        <w:rPr>
          <w:rFonts w:cs="Arial"/>
          <w:sz w:val="20"/>
          <w:szCs w:val="20"/>
        </w:rPr>
        <w:t xml:space="preserve"> </w:t>
      </w:r>
      <w:r w:rsidRPr="006A0D7B">
        <w:rPr>
          <w:rFonts w:cs="Arial"/>
          <w:sz w:val="20"/>
          <w:szCs w:val="20"/>
        </w:rPr>
        <w:t xml:space="preserve">Stefan </w:t>
      </w:r>
      <w:proofErr w:type="spellStart"/>
      <w:r w:rsidRPr="006A0D7B">
        <w:rPr>
          <w:rFonts w:cs="Arial"/>
          <w:sz w:val="20"/>
          <w:szCs w:val="20"/>
        </w:rPr>
        <w:t>Pambuccian</w:t>
      </w:r>
      <w:proofErr w:type="spellEnd"/>
      <w:r w:rsidRPr="00443F50">
        <w:rPr>
          <w:rFonts w:cs="Arial"/>
          <w:sz w:val="20"/>
          <w:szCs w:val="20"/>
        </w:rPr>
        <w:t>, MD</w:t>
      </w:r>
    </w:p>
    <w:p w:rsidR="003307EA" w:rsidRPr="00443F50" w:rsidRDefault="003307EA" w:rsidP="003307EA">
      <w:pPr>
        <w:rPr>
          <w:rFonts w:cs="Arial"/>
          <w:sz w:val="20"/>
          <w:szCs w:val="20"/>
        </w:rPr>
      </w:pPr>
    </w:p>
    <w:p w:rsidR="003307EA" w:rsidRPr="00443F50" w:rsidRDefault="003307EA" w:rsidP="003307EA">
      <w:pPr>
        <w:rPr>
          <w:rFonts w:cs="Arial"/>
          <w:sz w:val="20"/>
          <w:szCs w:val="20"/>
        </w:rPr>
      </w:pPr>
      <w:r w:rsidRPr="00443F50">
        <w:rPr>
          <w:rFonts w:cs="Arial"/>
          <w:b/>
          <w:sz w:val="20"/>
          <w:szCs w:val="20"/>
        </w:rPr>
        <w:t xml:space="preserve">Clinical History: </w:t>
      </w:r>
      <w:r w:rsidRPr="006A0D7B">
        <w:rPr>
          <w:rFonts w:cs="Arial"/>
          <w:sz w:val="20"/>
          <w:szCs w:val="20"/>
        </w:rPr>
        <w:t>The patient is a 74-year-old female with 36 pack years of smoking history had left breast asymmetry during routine screening mammogram. Imaging revealed suspicious irregular mass with enhancement kinetics measuring 1.6 cm in left central outer breast. A biopsy of the breast mass followed by wire localized curative lumpectomy was performed. A representative section is submitted for your review.</w:t>
      </w:r>
    </w:p>
    <w:p w:rsidR="003307EA" w:rsidRPr="00443F50" w:rsidRDefault="003307EA" w:rsidP="003307EA">
      <w:pPr>
        <w:rPr>
          <w:rFonts w:cs="Arial"/>
          <w:sz w:val="20"/>
          <w:szCs w:val="20"/>
        </w:rPr>
      </w:pPr>
    </w:p>
    <w:p w:rsidR="003307EA" w:rsidRPr="00443F50" w:rsidRDefault="003307EA" w:rsidP="003307EA">
      <w:pPr>
        <w:rPr>
          <w:rFonts w:cs="Arial"/>
          <w:sz w:val="20"/>
          <w:szCs w:val="20"/>
        </w:rPr>
      </w:pPr>
      <w:r w:rsidRPr="00443F50">
        <w:rPr>
          <w:rFonts w:cs="Arial"/>
          <w:b/>
          <w:sz w:val="20"/>
          <w:szCs w:val="20"/>
        </w:rPr>
        <w:t xml:space="preserve">Diagnosis: </w:t>
      </w:r>
      <w:r>
        <w:rPr>
          <w:rFonts w:cs="Arial"/>
          <w:sz w:val="20"/>
          <w:szCs w:val="20"/>
        </w:rPr>
        <w:t xml:space="preserve">Invasive ductal carcinoma, </w:t>
      </w:r>
      <w:proofErr w:type="gramStart"/>
      <w:r>
        <w:rPr>
          <w:rFonts w:cs="Arial"/>
          <w:sz w:val="20"/>
          <w:szCs w:val="20"/>
        </w:rPr>
        <w:t>A</w:t>
      </w:r>
      <w:r w:rsidRPr="006A0D7B">
        <w:rPr>
          <w:rFonts w:cs="Arial"/>
          <w:sz w:val="20"/>
          <w:szCs w:val="20"/>
        </w:rPr>
        <w:t>pocrine</w:t>
      </w:r>
      <w:proofErr w:type="gramEnd"/>
      <w:r w:rsidRPr="006A0D7B">
        <w:rPr>
          <w:rFonts w:cs="Arial"/>
          <w:sz w:val="20"/>
          <w:szCs w:val="20"/>
        </w:rPr>
        <w:t xml:space="preserve"> type</w:t>
      </w:r>
    </w:p>
    <w:p w:rsidR="003307EA" w:rsidRPr="00443F50" w:rsidRDefault="003307EA" w:rsidP="003307EA">
      <w:pPr>
        <w:rPr>
          <w:rFonts w:cs="Arial"/>
          <w:sz w:val="20"/>
          <w:szCs w:val="20"/>
        </w:rPr>
      </w:pPr>
    </w:p>
    <w:p w:rsidR="003307EA" w:rsidRPr="00443F50" w:rsidRDefault="003307EA" w:rsidP="003307EA">
      <w:pPr>
        <w:rPr>
          <w:rFonts w:cs="Arial"/>
          <w:b/>
          <w:sz w:val="20"/>
          <w:szCs w:val="20"/>
        </w:rPr>
      </w:pPr>
      <w:r w:rsidRPr="00443F50">
        <w:rPr>
          <w:rFonts w:cs="Arial"/>
          <w:b/>
          <w:sz w:val="20"/>
          <w:szCs w:val="20"/>
        </w:rPr>
        <w:t xml:space="preserve">Differential Diagnosis: </w:t>
      </w:r>
    </w:p>
    <w:p w:rsidR="003307EA" w:rsidRPr="00443F50" w:rsidRDefault="003307EA" w:rsidP="003307EA">
      <w:pPr>
        <w:pStyle w:val="ListParagraph"/>
        <w:numPr>
          <w:ilvl w:val="0"/>
          <w:numId w:val="11"/>
        </w:numPr>
        <w:spacing w:after="0" w:line="240" w:lineRule="auto"/>
        <w:rPr>
          <w:rFonts w:cs="Arial"/>
          <w:sz w:val="20"/>
          <w:szCs w:val="20"/>
        </w:rPr>
      </w:pPr>
      <w:r>
        <w:rPr>
          <w:rFonts w:cs="Arial"/>
          <w:sz w:val="20"/>
          <w:szCs w:val="20"/>
        </w:rPr>
        <w:t>Primary and secondary tumors of the breast with abundant granular cytoplasm</w:t>
      </w:r>
    </w:p>
    <w:p w:rsidR="003307EA" w:rsidRPr="00443F50" w:rsidRDefault="003307EA" w:rsidP="003307EA">
      <w:pPr>
        <w:rPr>
          <w:rFonts w:cs="Arial"/>
          <w:sz w:val="20"/>
          <w:szCs w:val="20"/>
        </w:rPr>
      </w:pPr>
    </w:p>
    <w:p w:rsidR="003307EA" w:rsidRPr="00443F50" w:rsidRDefault="003307EA" w:rsidP="003307EA">
      <w:pPr>
        <w:rPr>
          <w:rFonts w:cs="Arial"/>
          <w:b/>
          <w:sz w:val="20"/>
          <w:szCs w:val="20"/>
        </w:rPr>
      </w:pPr>
      <w:r w:rsidRPr="00443F50">
        <w:rPr>
          <w:rFonts w:cs="Arial"/>
          <w:b/>
          <w:sz w:val="20"/>
          <w:szCs w:val="20"/>
        </w:rPr>
        <w:t>Key morphologic and immunohistochemical features:</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 xml:space="preserve">Invasive tumor cells and DCIS luminal epithelial cells with </w:t>
      </w:r>
      <w:r w:rsidRPr="006A0D7B">
        <w:rPr>
          <w:rFonts w:cs="Arial"/>
          <w:sz w:val="20"/>
          <w:szCs w:val="20"/>
        </w:rPr>
        <w:t>abundant pink to blue granular cytoplasm</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Background of papillary cystic apocrine metaplasia</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Invasive carcinoma may show targetoid spread with varying tubule/ductal differentiation</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Large nuclei (&gt;3 times RBC) with smooth nuclear membranes, fine</w:t>
      </w:r>
      <w:r w:rsidRPr="00443F50">
        <w:rPr>
          <w:rFonts w:cs="Arial"/>
          <w:sz w:val="20"/>
          <w:szCs w:val="20"/>
        </w:rPr>
        <w:t xml:space="preserve"> chromatin</w:t>
      </w:r>
      <w:r>
        <w:rPr>
          <w:rFonts w:cs="Arial"/>
          <w:sz w:val="20"/>
          <w:szCs w:val="20"/>
        </w:rPr>
        <w:t xml:space="preserve"> and prominent nucleoli</w:t>
      </w:r>
    </w:p>
    <w:p w:rsidR="003307EA" w:rsidRDefault="003307EA" w:rsidP="003307EA">
      <w:pPr>
        <w:pStyle w:val="ListParagraph"/>
        <w:numPr>
          <w:ilvl w:val="0"/>
          <w:numId w:val="11"/>
        </w:numPr>
        <w:spacing w:after="0" w:line="240" w:lineRule="auto"/>
        <w:rPr>
          <w:rFonts w:cs="Arial"/>
          <w:sz w:val="20"/>
          <w:szCs w:val="20"/>
        </w:rPr>
      </w:pPr>
      <w:r w:rsidRPr="00443F50">
        <w:rPr>
          <w:rFonts w:cs="Arial"/>
          <w:sz w:val="20"/>
          <w:szCs w:val="20"/>
        </w:rPr>
        <w:t>Rare mitoses</w:t>
      </w:r>
      <w:r>
        <w:rPr>
          <w:rFonts w:cs="Arial"/>
          <w:sz w:val="20"/>
          <w:szCs w:val="20"/>
        </w:rPr>
        <w:t xml:space="preserve"> (Low Ki67 proliferative index)</w:t>
      </w:r>
    </w:p>
    <w:p w:rsidR="003307EA" w:rsidRPr="00443F50" w:rsidRDefault="003307EA" w:rsidP="003307EA">
      <w:pPr>
        <w:pStyle w:val="ListParagraph"/>
        <w:numPr>
          <w:ilvl w:val="0"/>
          <w:numId w:val="11"/>
        </w:numPr>
        <w:spacing w:after="0" w:line="240" w:lineRule="auto"/>
        <w:rPr>
          <w:rFonts w:cs="Arial"/>
          <w:sz w:val="20"/>
          <w:szCs w:val="20"/>
        </w:rPr>
      </w:pPr>
      <w:r>
        <w:rPr>
          <w:rFonts w:cs="Arial"/>
          <w:sz w:val="20"/>
          <w:szCs w:val="20"/>
        </w:rPr>
        <w:t>Androgen receptor (AR) is</w:t>
      </w:r>
      <w:r w:rsidRPr="00443F50">
        <w:rPr>
          <w:rFonts w:cs="Arial"/>
          <w:sz w:val="20"/>
          <w:szCs w:val="20"/>
        </w:rPr>
        <w:t xml:space="preserve"> diffusely positive</w:t>
      </w:r>
    </w:p>
    <w:p w:rsidR="003307EA" w:rsidRPr="00443F50" w:rsidRDefault="003307EA" w:rsidP="003307EA">
      <w:pPr>
        <w:pStyle w:val="ListParagraph"/>
        <w:numPr>
          <w:ilvl w:val="0"/>
          <w:numId w:val="11"/>
        </w:numPr>
        <w:spacing w:after="0" w:line="240" w:lineRule="auto"/>
        <w:rPr>
          <w:rFonts w:cs="Arial"/>
          <w:sz w:val="20"/>
          <w:szCs w:val="20"/>
        </w:rPr>
      </w:pPr>
      <w:r w:rsidRPr="00443F50">
        <w:rPr>
          <w:rFonts w:cs="Arial"/>
          <w:sz w:val="20"/>
          <w:szCs w:val="20"/>
        </w:rPr>
        <w:t xml:space="preserve">Absence of </w:t>
      </w:r>
      <w:proofErr w:type="spellStart"/>
      <w:r>
        <w:rPr>
          <w:rFonts w:cs="Arial"/>
          <w:sz w:val="20"/>
          <w:szCs w:val="20"/>
        </w:rPr>
        <w:t>ERα</w:t>
      </w:r>
      <w:proofErr w:type="spellEnd"/>
      <w:r>
        <w:rPr>
          <w:rFonts w:cs="Arial"/>
          <w:sz w:val="20"/>
          <w:szCs w:val="20"/>
        </w:rPr>
        <w:t>, PR and Her-2/</w:t>
      </w:r>
      <w:proofErr w:type="spellStart"/>
      <w:r>
        <w:rPr>
          <w:rFonts w:cs="Arial"/>
          <w:sz w:val="20"/>
          <w:szCs w:val="20"/>
        </w:rPr>
        <w:t>neu</w:t>
      </w:r>
      <w:proofErr w:type="spellEnd"/>
      <w:r>
        <w:rPr>
          <w:rFonts w:cs="Arial"/>
          <w:sz w:val="20"/>
          <w:szCs w:val="20"/>
        </w:rPr>
        <w:t xml:space="preserve"> (50%)</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Absence of basal cell markers: CK5/6, p63</w:t>
      </w:r>
    </w:p>
    <w:p w:rsidR="003307EA" w:rsidRPr="00443F50" w:rsidRDefault="003307EA" w:rsidP="003307EA">
      <w:pPr>
        <w:pStyle w:val="ListParagraph"/>
        <w:numPr>
          <w:ilvl w:val="0"/>
          <w:numId w:val="11"/>
        </w:numPr>
        <w:spacing w:after="0" w:line="240" w:lineRule="auto"/>
        <w:rPr>
          <w:rFonts w:cs="Arial"/>
          <w:sz w:val="20"/>
          <w:szCs w:val="20"/>
        </w:rPr>
      </w:pPr>
      <w:r>
        <w:rPr>
          <w:rFonts w:cs="Arial"/>
          <w:sz w:val="20"/>
          <w:szCs w:val="20"/>
        </w:rPr>
        <w:t>Intact BRCA</w:t>
      </w:r>
    </w:p>
    <w:p w:rsidR="003307EA" w:rsidRPr="00443F50" w:rsidRDefault="003307EA" w:rsidP="003307EA">
      <w:pPr>
        <w:rPr>
          <w:rFonts w:cs="Arial"/>
          <w:sz w:val="20"/>
          <w:szCs w:val="20"/>
        </w:rPr>
      </w:pPr>
    </w:p>
    <w:p w:rsidR="003307EA" w:rsidRDefault="003307EA" w:rsidP="003307EA">
      <w:pPr>
        <w:rPr>
          <w:rFonts w:cs="Arial"/>
          <w:b/>
          <w:sz w:val="20"/>
          <w:szCs w:val="20"/>
        </w:rPr>
      </w:pPr>
      <w:r w:rsidRPr="00443F50">
        <w:rPr>
          <w:rFonts w:cs="Arial"/>
          <w:b/>
          <w:sz w:val="20"/>
          <w:szCs w:val="20"/>
        </w:rPr>
        <w:t xml:space="preserve">Discussion:   </w:t>
      </w:r>
    </w:p>
    <w:p w:rsidR="003307EA" w:rsidRPr="00443F50" w:rsidRDefault="003307EA" w:rsidP="003307EA">
      <w:pPr>
        <w:rPr>
          <w:rFonts w:cs="Arial"/>
          <w:sz w:val="20"/>
          <w:szCs w:val="20"/>
        </w:rPr>
      </w:pP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A</w:t>
      </w:r>
      <w:r w:rsidRPr="00D63A5A">
        <w:rPr>
          <w:rFonts w:cs="Arial"/>
          <w:sz w:val="20"/>
          <w:szCs w:val="20"/>
        </w:rPr>
        <w:t>pocrine change</w:t>
      </w:r>
      <w:r>
        <w:rPr>
          <w:rFonts w:cs="Arial"/>
          <w:sz w:val="20"/>
          <w:szCs w:val="20"/>
        </w:rPr>
        <w:t>s</w:t>
      </w:r>
      <w:r w:rsidRPr="00D63A5A">
        <w:rPr>
          <w:rFonts w:cs="Arial"/>
          <w:sz w:val="20"/>
          <w:szCs w:val="20"/>
        </w:rPr>
        <w:t xml:space="preserve"> either proliferative or non proliferative, </w:t>
      </w:r>
      <w:r>
        <w:rPr>
          <w:rFonts w:cs="Arial"/>
          <w:sz w:val="20"/>
          <w:szCs w:val="20"/>
        </w:rPr>
        <w:t xml:space="preserve">with </w:t>
      </w:r>
      <w:r w:rsidRPr="00D63A5A">
        <w:rPr>
          <w:rFonts w:cs="Arial"/>
          <w:sz w:val="20"/>
          <w:szCs w:val="20"/>
        </w:rPr>
        <w:t xml:space="preserve">simple or complex papillary change with no atypia </w:t>
      </w:r>
      <w:r>
        <w:rPr>
          <w:rFonts w:cs="Arial"/>
          <w:sz w:val="20"/>
          <w:szCs w:val="20"/>
        </w:rPr>
        <w:t>carries</w:t>
      </w:r>
      <w:r w:rsidRPr="00D63A5A">
        <w:rPr>
          <w:rFonts w:cs="Arial"/>
          <w:sz w:val="20"/>
          <w:szCs w:val="20"/>
        </w:rPr>
        <w:t xml:space="preserve"> no risk for invasive breast carcinoma</w:t>
      </w:r>
      <w:r w:rsidRPr="00443F50">
        <w:rPr>
          <w:rFonts w:cs="Arial"/>
          <w:sz w:val="20"/>
          <w:szCs w:val="20"/>
        </w:rPr>
        <w:t>.</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Atypical apocrine proliferations have relative risk of 5.5 for development of invasive breast cancer</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Androgen receptor (</w:t>
      </w:r>
      <w:r w:rsidRPr="00D63A5A">
        <w:rPr>
          <w:rFonts w:cs="Arial"/>
          <w:sz w:val="20"/>
          <w:szCs w:val="20"/>
        </w:rPr>
        <w:t>AR</w:t>
      </w:r>
      <w:r>
        <w:rPr>
          <w:rFonts w:cs="Arial"/>
          <w:sz w:val="20"/>
          <w:szCs w:val="20"/>
        </w:rPr>
        <w:t>)</w:t>
      </w:r>
      <w:r w:rsidRPr="00D63A5A">
        <w:rPr>
          <w:rFonts w:cs="Arial"/>
          <w:sz w:val="20"/>
          <w:szCs w:val="20"/>
        </w:rPr>
        <w:t xml:space="preserve"> is the most frequently expressed steroid hormone receptor among breast cancers</w:t>
      </w:r>
      <w:r>
        <w:rPr>
          <w:rFonts w:cs="Arial"/>
          <w:sz w:val="20"/>
          <w:szCs w:val="20"/>
        </w:rPr>
        <w:t>. AR-positive status correlates</w:t>
      </w:r>
      <w:r w:rsidRPr="00D63A5A">
        <w:rPr>
          <w:rFonts w:cs="Arial"/>
          <w:sz w:val="20"/>
          <w:szCs w:val="20"/>
        </w:rPr>
        <w:t xml:space="preserve"> with longer overall survival</w:t>
      </w:r>
      <w:r>
        <w:rPr>
          <w:rFonts w:cs="Arial"/>
          <w:sz w:val="20"/>
          <w:szCs w:val="20"/>
        </w:rPr>
        <w:t xml:space="preserve"> among ER+ breast cancers</w:t>
      </w:r>
    </w:p>
    <w:p w:rsidR="003307EA" w:rsidRDefault="003307EA" w:rsidP="003307EA">
      <w:pPr>
        <w:pStyle w:val="ListParagraph"/>
        <w:numPr>
          <w:ilvl w:val="0"/>
          <w:numId w:val="11"/>
        </w:numPr>
        <w:spacing w:after="0" w:line="240" w:lineRule="auto"/>
        <w:rPr>
          <w:rFonts w:cs="Arial"/>
          <w:sz w:val="20"/>
          <w:szCs w:val="20"/>
        </w:rPr>
      </w:pPr>
      <w:r w:rsidRPr="00D63A5A">
        <w:rPr>
          <w:rFonts w:cs="Arial"/>
          <w:sz w:val="20"/>
          <w:szCs w:val="20"/>
        </w:rPr>
        <w:t xml:space="preserve">AR expression in the absence of ER and PR expression </w:t>
      </w:r>
      <w:r>
        <w:rPr>
          <w:rFonts w:cs="Arial"/>
          <w:sz w:val="20"/>
          <w:szCs w:val="20"/>
        </w:rPr>
        <w:t>with</w:t>
      </w:r>
      <w:r w:rsidRPr="00D63A5A">
        <w:rPr>
          <w:rFonts w:cs="Arial"/>
          <w:sz w:val="20"/>
          <w:szCs w:val="20"/>
        </w:rPr>
        <w:t xml:space="preserve"> accompanying morphological features is diagnostic of </w:t>
      </w:r>
      <w:proofErr w:type="gramStart"/>
      <w:r w:rsidRPr="00D63A5A">
        <w:rPr>
          <w:rFonts w:cs="Arial"/>
          <w:sz w:val="20"/>
          <w:szCs w:val="20"/>
        </w:rPr>
        <w:t>Apocrine</w:t>
      </w:r>
      <w:proofErr w:type="gramEnd"/>
      <w:r w:rsidRPr="00D63A5A">
        <w:rPr>
          <w:rFonts w:cs="Arial"/>
          <w:sz w:val="20"/>
          <w:szCs w:val="20"/>
        </w:rPr>
        <w:t xml:space="preserve"> carcinoma.</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 xml:space="preserve">Current </w:t>
      </w:r>
      <w:proofErr w:type="gramStart"/>
      <w:r>
        <w:rPr>
          <w:rFonts w:cs="Arial"/>
          <w:sz w:val="20"/>
          <w:szCs w:val="20"/>
        </w:rPr>
        <w:t>WHO</w:t>
      </w:r>
      <w:proofErr w:type="gramEnd"/>
      <w:r>
        <w:rPr>
          <w:rFonts w:cs="Arial"/>
          <w:sz w:val="20"/>
          <w:szCs w:val="20"/>
        </w:rPr>
        <w:t xml:space="preserve"> discourages the use of Apocrine Carcinoma. The new diagnostic category is “Carcinoma with apocrine changes”</w:t>
      </w:r>
    </w:p>
    <w:p w:rsidR="003307EA" w:rsidRPr="00443F50" w:rsidRDefault="003307EA" w:rsidP="003307EA">
      <w:pPr>
        <w:pStyle w:val="ListParagraph"/>
        <w:numPr>
          <w:ilvl w:val="0"/>
          <w:numId w:val="11"/>
        </w:numPr>
        <w:spacing w:after="0" w:line="240" w:lineRule="auto"/>
        <w:rPr>
          <w:rFonts w:cs="Arial"/>
          <w:sz w:val="20"/>
          <w:szCs w:val="20"/>
        </w:rPr>
      </w:pPr>
      <w:r>
        <w:rPr>
          <w:rFonts w:cs="Arial"/>
          <w:sz w:val="20"/>
          <w:szCs w:val="20"/>
        </w:rPr>
        <w:t>Apocrine carcinoma has unique gene expression (</w:t>
      </w:r>
      <w:r>
        <w:rPr>
          <w:rFonts w:cs="Arial"/>
          <w:i/>
          <w:sz w:val="20"/>
          <w:szCs w:val="20"/>
        </w:rPr>
        <w:t>FOXA1;</w:t>
      </w:r>
      <w:r w:rsidRPr="00B55EAD">
        <w:rPr>
          <w:rFonts w:cs="Arial"/>
          <w:i/>
          <w:sz w:val="20"/>
          <w:szCs w:val="20"/>
        </w:rPr>
        <w:t>KRT18</w:t>
      </w:r>
      <w:r w:rsidRPr="00B55EAD">
        <w:rPr>
          <w:rFonts w:cs="Arial"/>
          <w:sz w:val="20"/>
          <w:szCs w:val="20"/>
        </w:rPr>
        <w:t xml:space="preserve"> </w:t>
      </w:r>
      <w:r>
        <w:rPr>
          <w:rFonts w:cs="Arial"/>
          <w:sz w:val="20"/>
          <w:szCs w:val="20"/>
        </w:rPr>
        <w:t>)  and mutation profile (</w:t>
      </w:r>
      <w:r w:rsidRPr="00B55EAD">
        <w:rPr>
          <w:rFonts w:cs="Arial"/>
          <w:i/>
          <w:sz w:val="20"/>
          <w:szCs w:val="20"/>
        </w:rPr>
        <w:t>PIK3CA; PTEN;CDH1</w:t>
      </w:r>
      <w:r>
        <w:rPr>
          <w:rFonts w:cs="Arial"/>
          <w:sz w:val="20"/>
          <w:szCs w:val="20"/>
        </w:rPr>
        <w:t>)</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lastRenderedPageBreak/>
        <w:t>Apocrine carcinoma falls under triple negative breast cancers (TNBC) but they behave similar to IDC (ER+) with respect to tumor size, grade, lymph node positivity and survival rates</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 xml:space="preserve"> </w:t>
      </w:r>
      <w:r w:rsidRPr="00D50FF4">
        <w:rPr>
          <w:rFonts w:cs="Arial"/>
          <w:sz w:val="20"/>
          <w:szCs w:val="20"/>
        </w:rPr>
        <w:t>Apocrine carcinomas are least sensitive</w:t>
      </w:r>
      <w:r>
        <w:rPr>
          <w:rFonts w:cs="Arial"/>
          <w:sz w:val="20"/>
          <w:szCs w:val="20"/>
        </w:rPr>
        <w:t xml:space="preserve"> to neoadjuvant chemotherapy (PARP inhibitors) with lowest pathologic complete response (</w:t>
      </w:r>
      <w:proofErr w:type="spellStart"/>
      <w:r>
        <w:rPr>
          <w:rFonts w:cs="Arial"/>
          <w:sz w:val="20"/>
          <w:szCs w:val="20"/>
        </w:rPr>
        <w:t>pCR</w:t>
      </w:r>
      <w:proofErr w:type="spellEnd"/>
      <w:r>
        <w:rPr>
          <w:rFonts w:cs="Arial"/>
          <w:sz w:val="20"/>
          <w:szCs w:val="20"/>
        </w:rPr>
        <w:t>). On the contrary they have highest overall survival compared to other TNBCs.</w:t>
      </w:r>
    </w:p>
    <w:p w:rsidR="003307EA" w:rsidRDefault="003307EA" w:rsidP="003307EA">
      <w:pPr>
        <w:pStyle w:val="ListParagraph"/>
        <w:numPr>
          <w:ilvl w:val="0"/>
          <w:numId w:val="11"/>
        </w:numPr>
        <w:spacing w:after="0" w:line="240" w:lineRule="auto"/>
        <w:rPr>
          <w:rFonts w:cs="Arial"/>
          <w:sz w:val="20"/>
          <w:szCs w:val="20"/>
        </w:rPr>
      </w:pPr>
      <w:r>
        <w:rPr>
          <w:rFonts w:cs="Arial"/>
          <w:sz w:val="20"/>
          <w:szCs w:val="20"/>
        </w:rPr>
        <w:t>Current t</w:t>
      </w:r>
      <w:r w:rsidRPr="00D50FF4">
        <w:rPr>
          <w:rFonts w:cs="Arial"/>
          <w:sz w:val="20"/>
          <w:szCs w:val="20"/>
        </w:rPr>
        <w:t>argeted therapies for Apocrine carcinoma</w:t>
      </w:r>
      <w:r>
        <w:rPr>
          <w:rFonts w:cs="Arial"/>
          <w:sz w:val="20"/>
          <w:szCs w:val="20"/>
        </w:rPr>
        <w:t xml:space="preserve"> are in clinical trials phase ( AR antagonist-</w:t>
      </w:r>
      <w:r w:rsidRPr="00D50FF4">
        <w:t xml:space="preserve"> </w:t>
      </w:r>
      <w:r w:rsidRPr="00D50FF4">
        <w:rPr>
          <w:rFonts w:cs="Arial"/>
          <w:sz w:val="20"/>
          <w:szCs w:val="20"/>
        </w:rPr>
        <w:t>Bicalutamide</w:t>
      </w:r>
      <w:r>
        <w:rPr>
          <w:rFonts w:cs="Arial"/>
          <w:sz w:val="20"/>
          <w:szCs w:val="20"/>
        </w:rPr>
        <w:t>)</w:t>
      </w:r>
    </w:p>
    <w:p w:rsidR="003307EA" w:rsidRPr="00D50FF4" w:rsidRDefault="003307EA" w:rsidP="003307EA">
      <w:pPr>
        <w:pStyle w:val="ListParagraph"/>
        <w:numPr>
          <w:ilvl w:val="0"/>
          <w:numId w:val="11"/>
        </w:numPr>
        <w:spacing w:after="0" w:line="240" w:lineRule="auto"/>
        <w:rPr>
          <w:rFonts w:cs="Arial"/>
          <w:sz w:val="20"/>
          <w:szCs w:val="20"/>
        </w:rPr>
      </w:pPr>
      <w:r w:rsidRPr="00D50FF4">
        <w:rPr>
          <w:rFonts w:cs="Arial"/>
          <w:sz w:val="20"/>
          <w:szCs w:val="20"/>
        </w:rPr>
        <w:t>50% of apocrine carcinoma are Her2/</w:t>
      </w:r>
      <w:proofErr w:type="spellStart"/>
      <w:r w:rsidRPr="00D50FF4">
        <w:rPr>
          <w:rFonts w:cs="Arial"/>
          <w:sz w:val="20"/>
          <w:szCs w:val="20"/>
        </w:rPr>
        <w:t>neu</w:t>
      </w:r>
      <w:proofErr w:type="spellEnd"/>
      <w:r w:rsidRPr="00D50FF4">
        <w:rPr>
          <w:rFonts w:cs="Arial"/>
          <w:sz w:val="20"/>
          <w:szCs w:val="20"/>
        </w:rPr>
        <w:t>+ thus may benefit from Her2/</w:t>
      </w:r>
      <w:proofErr w:type="spellStart"/>
      <w:r w:rsidRPr="00D50FF4">
        <w:rPr>
          <w:rFonts w:cs="Arial"/>
          <w:sz w:val="20"/>
          <w:szCs w:val="20"/>
        </w:rPr>
        <w:t>neu</w:t>
      </w:r>
      <w:proofErr w:type="spellEnd"/>
      <w:r w:rsidRPr="00D50FF4">
        <w:rPr>
          <w:rFonts w:cs="Arial"/>
          <w:sz w:val="20"/>
          <w:szCs w:val="20"/>
        </w:rPr>
        <w:t xml:space="preserve"> therapy (</w:t>
      </w:r>
      <w:r w:rsidRPr="00D50FF4">
        <w:rPr>
          <w:rFonts w:cs="Arial"/>
          <w:bCs/>
          <w:sz w:val="20"/>
          <w:szCs w:val="20"/>
        </w:rPr>
        <w:t>Trastuzumab &amp; Lapatinib</w:t>
      </w:r>
      <w:r>
        <w:rPr>
          <w:rFonts w:cs="Arial"/>
          <w:sz w:val="20"/>
          <w:szCs w:val="20"/>
        </w:rPr>
        <w:t>) but resistance is common due PI3K/PTEN/</w:t>
      </w:r>
      <w:proofErr w:type="spellStart"/>
      <w:r>
        <w:rPr>
          <w:rFonts w:cs="Arial"/>
          <w:sz w:val="20"/>
          <w:szCs w:val="20"/>
        </w:rPr>
        <w:t>Akt</w:t>
      </w:r>
      <w:proofErr w:type="spellEnd"/>
      <w:r>
        <w:rPr>
          <w:rFonts w:cs="Arial"/>
          <w:sz w:val="20"/>
          <w:szCs w:val="20"/>
        </w:rPr>
        <w:t xml:space="preserve"> deregulation</w:t>
      </w:r>
    </w:p>
    <w:p w:rsidR="003307EA" w:rsidRPr="005645CA" w:rsidRDefault="003307EA" w:rsidP="003307EA">
      <w:pPr>
        <w:pStyle w:val="ListParagraph"/>
        <w:numPr>
          <w:ilvl w:val="0"/>
          <w:numId w:val="11"/>
        </w:numPr>
        <w:spacing w:after="0" w:line="240" w:lineRule="auto"/>
        <w:rPr>
          <w:rFonts w:cs="Arial"/>
          <w:sz w:val="20"/>
          <w:szCs w:val="20"/>
        </w:rPr>
      </w:pPr>
      <w:r>
        <w:rPr>
          <w:rFonts w:cs="Arial"/>
          <w:sz w:val="20"/>
          <w:szCs w:val="20"/>
        </w:rPr>
        <w:t>Avoid ineffective chemotherapy</w:t>
      </w:r>
      <w:r w:rsidRPr="005645CA">
        <w:rPr>
          <w:rFonts w:cs="Arial"/>
          <w:sz w:val="20"/>
          <w:szCs w:val="20"/>
        </w:rPr>
        <w:t xml:space="preserve"> among old women</w:t>
      </w:r>
      <w:r>
        <w:rPr>
          <w:rFonts w:cs="Arial"/>
          <w:sz w:val="20"/>
          <w:szCs w:val="20"/>
        </w:rPr>
        <w:t xml:space="preserve"> with apocrine carcinoma</w:t>
      </w:r>
      <w:r w:rsidRPr="005645CA">
        <w:rPr>
          <w:rFonts w:cs="Arial"/>
          <w:sz w:val="20"/>
          <w:szCs w:val="20"/>
        </w:rPr>
        <w:t xml:space="preserve"> who are least likely to tolerate </w:t>
      </w:r>
    </w:p>
    <w:p w:rsidR="003307EA" w:rsidRPr="005645CA" w:rsidRDefault="003307EA" w:rsidP="003307EA">
      <w:pPr>
        <w:pStyle w:val="ListParagraph"/>
        <w:rPr>
          <w:rFonts w:cs="Arial"/>
          <w:sz w:val="20"/>
          <w:szCs w:val="20"/>
        </w:rPr>
      </w:pPr>
    </w:p>
    <w:p w:rsidR="003307EA" w:rsidRDefault="003307EA" w:rsidP="003307EA">
      <w:pPr>
        <w:rPr>
          <w:rFonts w:cs="Arial"/>
          <w:sz w:val="20"/>
          <w:szCs w:val="20"/>
        </w:rPr>
      </w:pPr>
    </w:p>
    <w:p w:rsidR="003307EA" w:rsidRPr="00443F50" w:rsidRDefault="003307EA" w:rsidP="003307EA">
      <w:pPr>
        <w:rPr>
          <w:rFonts w:cs="Arial"/>
          <w:sz w:val="20"/>
          <w:szCs w:val="20"/>
        </w:rPr>
      </w:pPr>
      <w:r>
        <w:rPr>
          <w:rFonts w:cs="Arial"/>
          <w:noProof/>
          <w:sz w:val="20"/>
          <w:szCs w:val="20"/>
        </w:rPr>
        <w:drawing>
          <wp:anchor distT="0" distB="0" distL="114300" distR="114300" simplePos="0" relativeHeight="251662336" behindDoc="0" locked="0" layoutInCell="1" allowOverlap="1">
            <wp:simplePos x="0" y="0"/>
            <wp:positionH relativeFrom="column">
              <wp:posOffset>3510280</wp:posOffset>
            </wp:positionH>
            <wp:positionV relativeFrom="paragraph">
              <wp:posOffset>23495</wp:posOffset>
            </wp:positionV>
            <wp:extent cx="3030855" cy="2211705"/>
            <wp:effectExtent l="19050" t="19050" r="17145" b="17145"/>
            <wp:wrapTopAndBottom/>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3030855" cy="2211705"/>
                    </a:xfrm>
                    <a:prstGeom prst="rect">
                      <a:avLst/>
                    </a:prstGeom>
                    <a:noFill/>
                    <a:ln w="9525">
                      <a:solidFill>
                        <a:schemeClr val="accent1"/>
                      </a:solidFill>
                      <a:miter lim="800000"/>
                      <a:headEnd/>
                      <a:tailEnd/>
                    </a:ln>
                  </pic:spPr>
                </pic:pic>
              </a:graphicData>
            </a:graphic>
          </wp:anchor>
        </w:drawing>
      </w:r>
      <w:r>
        <w:rPr>
          <w:rFonts w:cs="Arial"/>
          <w:noProof/>
          <w:sz w:val="20"/>
          <w:szCs w:val="20"/>
        </w:rPr>
        <w:drawing>
          <wp:anchor distT="0" distB="0" distL="114300" distR="114300" simplePos="0" relativeHeight="251663360" behindDoc="0" locked="0" layoutInCell="1" allowOverlap="1">
            <wp:simplePos x="0" y="0"/>
            <wp:positionH relativeFrom="column">
              <wp:posOffset>24074</wp:posOffset>
            </wp:positionH>
            <wp:positionV relativeFrom="paragraph">
              <wp:posOffset>24074</wp:posOffset>
            </wp:positionV>
            <wp:extent cx="3383943" cy="2208921"/>
            <wp:effectExtent l="19050" t="19050" r="26007" b="19929"/>
            <wp:wrapTopAndBottom/>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3383943" cy="2208921"/>
                    </a:xfrm>
                    <a:prstGeom prst="rect">
                      <a:avLst/>
                    </a:prstGeom>
                    <a:noFill/>
                    <a:ln w="9525">
                      <a:solidFill>
                        <a:schemeClr val="accent1"/>
                      </a:solidFill>
                      <a:miter lim="800000"/>
                      <a:headEnd/>
                      <a:tailEnd/>
                    </a:ln>
                  </pic:spPr>
                </pic:pic>
              </a:graphicData>
            </a:graphic>
          </wp:anchor>
        </w:drawing>
      </w:r>
      <w:r>
        <w:rPr>
          <w:rFonts w:cs="Arial"/>
          <w:noProof/>
          <w:sz w:val="20"/>
          <w:szCs w:val="20"/>
        </w:rPr>
        <w:t xml:space="preserve"> </w:t>
      </w:r>
    </w:p>
    <w:p w:rsidR="003307EA" w:rsidRPr="00443F50" w:rsidRDefault="003307EA" w:rsidP="003307EA">
      <w:pPr>
        <w:rPr>
          <w:rFonts w:cs="Arial"/>
          <w:sz w:val="20"/>
          <w:szCs w:val="20"/>
        </w:rPr>
      </w:pPr>
    </w:p>
    <w:p w:rsidR="003307EA" w:rsidRPr="00443F50" w:rsidRDefault="003307EA" w:rsidP="003307EA">
      <w:pPr>
        <w:rPr>
          <w:rFonts w:cs="Arial"/>
          <w:sz w:val="20"/>
          <w:szCs w:val="20"/>
        </w:rPr>
      </w:pPr>
      <w:r w:rsidRPr="00443F50">
        <w:rPr>
          <w:rFonts w:cs="Arial"/>
          <w:b/>
          <w:sz w:val="20"/>
          <w:szCs w:val="20"/>
        </w:rPr>
        <w:t>References</w:t>
      </w:r>
    </w:p>
    <w:p w:rsidR="003307EA" w:rsidRPr="00443F50" w:rsidRDefault="003307EA" w:rsidP="003307EA">
      <w:pPr>
        <w:rPr>
          <w:rFonts w:cs="Arial"/>
          <w:sz w:val="20"/>
          <w:szCs w:val="20"/>
        </w:rPr>
      </w:pPr>
    </w:p>
    <w:p w:rsidR="003307EA" w:rsidRDefault="003307EA" w:rsidP="003307EA">
      <w:pPr>
        <w:rPr>
          <w:rFonts w:cs="Arial"/>
          <w:sz w:val="20"/>
          <w:szCs w:val="20"/>
        </w:rPr>
      </w:pPr>
      <w:proofErr w:type="spellStart"/>
      <w:proofErr w:type="gramStart"/>
      <w:r w:rsidRPr="00443F50">
        <w:rPr>
          <w:rFonts w:cs="Arial"/>
          <w:sz w:val="20"/>
          <w:szCs w:val="20"/>
        </w:rPr>
        <w:t>Lakhani</w:t>
      </w:r>
      <w:proofErr w:type="spellEnd"/>
      <w:r w:rsidRPr="00443F50">
        <w:rPr>
          <w:rFonts w:cs="Arial"/>
          <w:sz w:val="20"/>
          <w:szCs w:val="20"/>
        </w:rPr>
        <w:t xml:space="preserve"> et al. </w:t>
      </w:r>
      <w:r w:rsidRPr="00443F50">
        <w:rPr>
          <w:rFonts w:cs="Arial"/>
          <w:i/>
          <w:sz w:val="20"/>
          <w:szCs w:val="20"/>
        </w:rPr>
        <w:t xml:space="preserve">World Health Organization classification of </w:t>
      </w:r>
      <w:proofErr w:type="spellStart"/>
      <w:r w:rsidRPr="00443F50">
        <w:rPr>
          <w:rFonts w:cs="Arial"/>
          <w:i/>
          <w:sz w:val="20"/>
          <w:szCs w:val="20"/>
        </w:rPr>
        <w:t>tumours</w:t>
      </w:r>
      <w:proofErr w:type="spellEnd"/>
      <w:r w:rsidRPr="00443F50">
        <w:rPr>
          <w:rFonts w:cs="Arial"/>
          <w:i/>
          <w:sz w:val="20"/>
          <w:szCs w:val="20"/>
        </w:rPr>
        <w:t xml:space="preserve"> of the breast</w:t>
      </w:r>
      <w:r w:rsidRPr="00443F50">
        <w:rPr>
          <w:rFonts w:cs="Arial"/>
          <w:sz w:val="20"/>
          <w:szCs w:val="20"/>
        </w:rPr>
        <w:t>.</w:t>
      </w:r>
      <w:proofErr w:type="gramEnd"/>
      <w:r w:rsidRPr="00443F50">
        <w:rPr>
          <w:rFonts w:cs="Arial"/>
          <w:sz w:val="20"/>
          <w:szCs w:val="20"/>
        </w:rPr>
        <w:t xml:space="preserve"> 4</w:t>
      </w:r>
      <w:r w:rsidRPr="00443F50">
        <w:rPr>
          <w:rFonts w:cs="Arial"/>
          <w:sz w:val="20"/>
          <w:szCs w:val="20"/>
          <w:vertAlign w:val="superscript"/>
        </w:rPr>
        <w:t>th</w:t>
      </w:r>
      <w:r w:rsidRPr="00443F50">
        <w:rPr>
          <w:rFonts w:cs="Arial"/>
          <w:sz w:val="20"/>
          <w:szCs w:val="20"/>
        </w:rPr>
        <w:t xml:space="preserve"> ed. Lyon: IARC Press 2012.</w:t>
      </w:r>
    </w:p>
    <w:p w:rsidR="003307EA" w:rsidRDefault="003307EA" w:rsidP="003307EA">
      <w:pPr>
        <w:rPr>
          <w:rFonts w:cs="Arial"/>
          <w:color w:val="222222"/>
          <w:sz w:val="21"/>
          <w:szCs w:val="21"/>
          <w:shd w:val="clear" w:color="auto" w:fill="FFFFFF"/>
        </w:rPr>
      </w:pPr>
    </w:p>
    <w:p w:rsidR="003307EA" w:rsidRDefault="003307EA" w:rsidP="003307EA">
      <w:pPr>
        <w:rPr>
          <w:rFonts w:cs="Arial"/>
          <w:sz w:val="20"/>
          <w:szCs w:val="20"/>
        </w:rPr>
      </w:pPr>
      <w:proofErr w:type="gramStart"/>
      <w:r>
        <w:rPr>
          <w:rFonts w:cs="Arial"/>
          <w:color w:val="222222"/>
          <w:sz w:val="21"/>
          <w:szCs w:val="21"/>
          <w:shd w:val="clear" w:color="auto" w:fill="FFFFFF"/>
        </w:rPr>
        <w:t>Page, David L., William D. Dupont, and Roy A. Jensen.</w:t>
      </w:r>
      <w:proofErr w:type="gramEnd"/>
      <w:r>
        <w:rPr>
          <w:rFonts w:cs="Arial"/>
          <w:color w:val="222222"/>
          <w:sz w:val="21"/>
          <w:szCs w:val="21"/>
          <w:shd w:val="clear" w:color="auto" w:fill="FFFFFF"/>
        </w:rPr>
        <w:t xml:space="preserve"> "Papillary apocrine change of the breast: associations with atypical hyperplasia and risk of breast cancer."</w:t>
      </w:r>
      <w:r>
        <w:rPr>
          <w:rStyle w:val="apple-converted-space"/>
          <w:rFonts w:cs="Arial"/>
          <w:color w:val="222222"/>
          <w:sz w:val="21"/>
          <w:szCs w:val="21"/>
          <w:shd w:val="clear" w:color="auto" w:fill="FFFFFF"/>
        </w:rPr>
        <w:t> </w:t>
      </w:r>
      <w:r>
        <w:rPr>
          <w:rFonts w:cs="Arial"/>
          <w:i/>
          <w:iCs/>
          <w:color w:val="222222"/>
          <w:sz w:val="21"/>
          <w:szCs w:val="21"/>
          <w:shd w:val="clear" w:color="auto" w:fill="FFFFFF"/>
        </w:rPr>
        <w:t>Cancer Epidemiology Biomarkers &amp; Prevention</w:t>
      </w:r>
      <w:r>
        <w:rPr>
          <w:rStyle w:val="apple-converted-space"/>
          <w:rFonts w:cs="Arial"/>
          <w:color w:val="222222"/>
          <w:sz w:val="21"/>
          <w:szCs w:val="21"/>
          <w:shd w:val="clear" w:color="auto" w:fill="FFFFFF"/>
        </w:rPr>
        <w:t> </w:t>
      </w:r>
      <w:r>
        <w:rPr>
          <w:rFonts w:cs="Arial"/>
          <w:color w:val="222222"/>
          <w:sz w:val="21"/>
          <w:szCs w:val="21"/>
          <w:shd w:val="clear" w:color="auto" w:fill="FFFFFF"/>
        </w:rPr>
        <w:t>5, no. 1 (1996): 29-32.</w:t>
      </w:r>
    </w:p>
    <w:p w:rsidR="003307EA" w:rsidRPr="00443F50" w:rsidRDefault="003307EA" w:rsidP="003307EA">
      <w:pPr>
        <w:rPr>
          <w:rFonts w:cs="Arial"/>
          <w:sz w:val="20"/>
          <w:szCs w:val="20"/>
        </w:rPr>
      </w:pPr>
    </w:p>
    <w:p w:rsidR="003307EA" w:rsidRDefault="003307EA" w:rsidP="003307EA">
      <w:pPr>
        <w:rPr>
          <w:rFonts w:cs="Arial"/>
          <w:sz w:val="20"/>
          <w:szCs w:val="20"/>
        </w:rPr>
      </w:pPr>
      <w:r w:rsidRPr="005645CA">
        <w:rPr>
          <w:rFonts w:cs="Arial"/>
          <w:sz w:val="20"/>
          <w:szCs w:val="20"/>
        </w:rPr>
        <w:t xml:space="preserve">Bose, </w:t>
      </w:r>
      <w:proofErr w:type="spellStart"/>
      <w:r w:rsidRPr="005645CA">
        <w:rPr>
          <w:rFonts w:cs="Arial"/>
          <w:sz w:val="20"/>
          <w:szCs w:val="20"/>
        </w:rPr>
        <w:t>Shikha</w:t>
      </w:r>
      <w:proofErr w:type="spellEnd"/>
      <w:r w:rsidRPr="005645CA">
        <w:rPr>
          <w:rFonts w:cs="Arial"/>
          <w:sz w:val="20"/>
          <w:szCs w:val="20"/>
        </w:rPr>
        <w:t xml:space="preserve">. "Triple-negative Breast Carcinoma: Morphologic and Molecular Subtypes." </w:t>
      </w:r>
      <w:r w:rsidRPr="005645CA">
        <w:rPr>
          <w:rFonts w:cs="Arial"/>
          <w:i/>
          <w:sz w:val="20"/>
          <w:szCs w:val="20"/>
        </w:rPr>
        <w:t>Advances in anatomic pathology</w:t>
      </w:r>
      <w:r w:rsidRPr="005645CA">
        <w:rPr>
          <w:rFonts w:cs="Arial"/>
          <w:sz w:val="20"/>
          <w:szCs w:val="20"/>
        </w:rPr>
        <w:t xml:space="preserve"> 22, no. 5 (2015): 306-313. </w:t>
      </w:r>
    </w:p>
    <w:p w:rsidR="003307EA" w:rsidRPr="005645CA" w:rsidRDefault="003307EA" w:rsidP="003307EA">
      <w:pPr>
        <w:rPr>
          <w:rFonts w:cs="Arial"/>
          <w:sz w:val="20"/>
          <w:szCs w:val="20"/>
        </w:rPr>
      </w:pPr>
    </w:p>
    <w:p w:rsidR="003307EA" w:rsidRDefault="003307EA" w:rsidP="003307EA">
      <w:pPr>
        <w:rPr>
          <w:rFonts w:cs="Arial"/>
          <w:sz w:val="20"/>
          <w:szCs w:val="20"/>
        </w:rPr>
      </w:pPr>
      <w:proofErr w:type="spellStart"/>
      <w:r w:rsidRPr="005645CA">
        <w:rPr>
          <w:rFonts w:cs="Arial"/>
          <w:sz w:val="20"/>
          <w:szCs w:val="20"/>
        </w:rPr>
        <w:lastRenderedPageBreak/>
        <w:t>Vranic</w:t>
      </w:r>
      <w:proofErr w:type="spellEnd"/>
      <w:r w:rsidRPr="005645CA">
        <w:rPr>
          <w:rFonts w:cs="Arial"/>
          <w:sz w:val="20"/>
          <w:szCs w:val="20"/>
        </w:rPr>
        <w:t xml:space="preserve">, </w:t>
      </w:r>
      <w:proofErr w:type="spellStart"/>
      <w:r w:rsidRPr="005645CA">
        <w:rPr>
          <w:rFonts w:cs="Arial"/>
          <w:sz w:val="20"/>
          <w:szCs w:val="20"/>
        </w:rPr>
        <w:t>Semir</w:t>
      </w:r>
      <w:proofErr w:type="spellEnd"/>
      <w:r w:rsidRPr="005645CA">
        <w:rPr>
          <w:rFonts w:cs="Arial"/>
          <w:sz w:val="20"/>
          <w:szCs w:val="20"/>
        </w:rPr>
        <w:t xml:space="preserve">, </w:t>
      </w:r>
      <w:proofErr w:type="spellStart"/>
      <w:r w:rsidRPr="005645CA">
        <w:rPr>
          <w:rFonts w:cs="Arial"/>
          <w:sz w:val="20"/>
          <w:szCs w:val="20"/>
        </w:rPr>
        <w:t>Caterina</w:t>
      </w:r>
      <w:proofErr w:type="spellEnd"/>
      <w:r w:rsidRPr="005645CA">
        <w:rPr>
          <w:rFonts w:cs="Arial"/>
          <w:sz w:val="20"/>
          <w:szCs w:val="20"/>
        </w:rPr>
        <w:t xml:space="preserve"> </w:t>
      </w:r>
      <w:proofErr w:type="spellStart"/>
      <w:r w:rsidRPr="005645CA">
        <w:rPr>
          <w:rFonts w:cs="Arial"/>
          <w:sz w:val="20"/>
          <w:szCs w:val="20"/>
        </w:rPr>
        <w:t>Marchiò</w:t>
      </w:r>
      <w:proofErr w:type="spellEnd"/>
      <w:r w:rsidRPr="005645CA">
        <w:rPr>
          <w:rFonts w:cs="Arial"/>
          <w:sz w:val="20"/>
          <w:szCs w:val="20"/>
        </w:rPr>
        <w:t xml:space="preserve">, Isabella </w:t>
      </w:r>
      <w:proofErr w:type="spellStart"/>
      <w:r w:rsidRPr="005645CA">
        <w:rPr>
          <w:rFonts w:cs="Arial"/>
          <w:sz w:val="20"/>
          <w:szCs w:val="20"/>
        </w:rPr>
        <w:t>Castellano</w:t>
      </w:r>
      <w:proofErr w:type="spellEnd"/>
      <w:r w:rsidRPr="005645CA">
        <w:rPr>
          <w:rFonts w:cs="Arial"/>
          <w:sz w:val="20"/>
          <w:szCs w:val="20"/>
        </w:rPr>
        <w:t xml:space="preserve">, Cristina </w:t>
      </w:r>
      <w:proofErr w:type="spellStart"/>
      <w:r w:rsidRPr="005645CA">
        <w:rPr>
          <w:rFonts w:cs="Arial"/>
          <w:sz w:val="20"/>
          <w:szCs w:val="20"/>
        </w:rPr>
        <w:t>Botta</w:t>
      </w:r>
      <w:proofErr w:type="spellEnd"/>
      <w:r w:rsidRPr="005645CA">
        <w:rPr>
          <w:rFonts w:cs="Arial"/>
          <w:sz w:val="20"/>
          <w:szCs w:val="20"/>
        </w:rPr>
        <w:t xml:space="preserve">, Maria Stella </w:t>
      </w:r>
      <w:proofErr w:type="spellStart"/>
      <w:r w:rsidRPr="005645CA">
        <w:rPr>
          <w:rFonts w:cs="Arial"/>
          <w:sz w:val="20"/>
          <w:szCs w:val="20"/>
        </w:rPr>
        <w:t>Scalzo</w:t>
      </w:r>
      <w:proofErr w:type="spellEnd"/>
      <w:r w:rsidRPr="005645CA">
        <w:rPr>
          <w:rFonts w:cs="Arial"/>
          <w:sz w:val="20"/>
          <w:szCs w:val="20"/>
        </w:rPr>
        <w:t xml:space="preserve">, Ryan P. Bender, Cesar </w:t>
      </w:r>
      <w:proofErr w:type="spellStart"/>
      <w:r w:rsidRPr="005645CA">
        <w:rPr>
          <w:rFonts w:cs="Arial"/>
          <w:sz w:val="20"/>
          <w:szCs w:val="20"/>
        </w:rPr>
        <w:t>Payan</w:t>
      </w:r>
      <w:proofErr w:type="spellEnd"/>
      <w:r w:rsidRPr="005645CA">
        <w:rPr>
          <w:rFonts w:cs="Arial"/>
          <w:sz w:val="20"/>
          <w:szCs w:val="20"/>
        </w:rPr>
        <w:t xml:space="preserve">-Gomez et al. "Immunohistochemical and molecular profiling of histologically defined apocrine carcinomas of the breast." </w:t>
      </w:r>
      <w:r w:rsidRPr="005645CA">
        <w:rPr>
          <w:rFonts w:cs="Arial"/>
          <w:i/>
          <w:sz w:val="20"/>
          <w:szCs w:val="20"/>
        </w:rPr>
        <w:t>Human pathology</w:t>
      </w:r>
      <w:r w:rsidRPr="005645CA">
        <w:rPr>
          <w:rFonts w:cs="Arial"/>
          <w:sz w:val="20"/>
          <w:szCs w:val="20"/>
        </w:rPr>
        <w:t xml:space="preserve"> 46, no. 9 (2015): 1350-1359.</w:t>
      </w:r>
    </w:p>
    <w:p w:rsidR="003307EA" w:rsidRPr="005645CA" w:rsidRDefault="003307EA" w:rsidP="003307EA">
      <w:pPr>
        <w:rPr>
          <w:rFonts w:cs="Arial"/>
          <w:sz w:val="20"/>
          <w:szCs w:val="20"/>
        </w:rPr>
      </w:pPr>
    </w:p>
    <w:p w:rsidR="003307EA" w:rsidRDefault="003307EA" w:rsidP="003307EA">
      <w:pPr>
        <w:rPr>
          <w:rFonts w:cs="Arial"/>
          <w:sz w:val="20"/>
          <w:szCs w:val="20"/>
        </w:rPr>
      </w:pPr>
      <w:r>
        <w:rPr>
          <w:rFonts w:cs="Arial"/>
          <w:color w:val="222222"/>
          <w:sz w:val="21"/>
          <w:szCs w:val="21"/>
          <w:shd w:val="clear" w:color="auto" w:fill="FFFFFF"/>
        </w:rPr>
        <w:t xml:space="preserve">Masuda, Hiroko, Keith A. </w:t>
      </w:r>
      <w:proofErr w:type="spellStart"/>
      <w:r>
        <w:rPr>
          <w:rFonts w:cs="Arial"/>
          <w:color w:val="222222"/>
          <w:sz w:val="21"/>
          <w:szCs w:val="21"/>
          <w:shd w:val="clear" w:color="auto" w:fill="FFFFFF"/>
        </w:rPr>
        <w:t>Baggerly</w:t>
      </w:r>
      <w:proofErr w:type="spellEnd"/>
      <w:r>
        <w:rPr>
          <w:rFonts w:cs="Arial"/>
          <w:color w:val="222222"/>
          <w:sz w:val="21"/>
          <w:szCs w:val="21"/>
          <w:shd w:val="clear" w:color="auto" w:fill="FFFFFF"/>
        </w:rPr>
        <w:t>, Ying Wang, Ya Zhang, Ana Maria Gonzalez-</w:t>
      </w:r>
      <w:proofErr w:type="spellStart"/>
      <w:r>
        <w:rPr>
          <w:rFonts w:cs="Arial"/>
          <w:color w:val="222222"/>
          <w:sz w:val="21"/>
          <w:szCs w:val="21"/>
          <w:shd w:val="clear" w:color="auto" w:fill="FFFFFF"/>
        </w:rPr>
        <w:t>Angulo</w:t>
      </w:r>
      <w:proofErr w:type="spellEnd"/>
      <w:r>
        <w:rPr>
          <w:rFonts w:cs="Arial"/>
          <w:color w:val="222222"/>
          <w:sz w:val="21"/>
          <w:szCs w:val="21"/>
          <w:shd w:val="clear" w:color="auto" w:fill="FFFFFF"/>
        </w:rPr>
        <w:t xml:space="preserve">, Funda </w:t>
      </w:r>
      <w:proofErr w:type="spellStart"/>
      <w:r>
        <w:rPr>
          <w:rFonts w:cs="Arial"/>
          <w:color w:val="222222"/>
          <w:sz w:val="21"/>
          <w:szCs w:val="21"/>
          <w:shd w:val="clear" w:color="auto" w:fill="FFFFFF"/>
        </w:rPr>
        <w:t>Meric-Bernstam</w:t>
      </w:r>
      <w:proofErr w:type="spellEnd"/>
      <w:r>
        <w:rPr>
          <w:rFonts w:cs="Arial"/>
          <w:color w:val="222222"/>
          <w:sz w:val="21"/>
          <w:szCs w:val="21"/>
          <w:shd w:val="clear" w:color="auto" w:fill="FFFFFF"/>
        </w:rPr>
        <w:t>, Vicente Valero et al. "Differential response to neoadjuvant chemotherapy among 7 triple-negative breast cancer molecular subtypes."</w:t>
      </w:r>
      <w:r>
        <w:rPr>
          <w:rStyle w:val="apple-converted-space"/>
          <w:rFonts w:cs="Arial"/>
          <w:color w:val="222222"/>
          <w:sz w:val="21"/>
          <w:szCs w:val="21"/>
          <w:shd w:val="clear" w:color="auto" w:fill="FFFFFF"/>
        </w:rPr>
        <w:t> </w:t>
      </w:r>
      <w:r>
        <w:rPr>
          <w:rFonts w:cs="Arial"/>
          <w:i/>
          <w:iCs/>
          <w:color w:val="222222"/>
          <w:sz w:val="21"/>
          <w:szCs w:val="21"/>
          <w:shd w:val="clear" w:color="auto" w:fill="FFFFFF"/>
        </w:rPr>
        <w:t>Clinical Cancer Research</w:t>
      </w:r>
      <w:r>
        <w:rPr>
          <w:rStyle w:val="apple-converted-space"/>
          <w:rFonts w:cs="Arial"/>
          <w:color w:val="222222"/>
          <w:sz w:val="21"/>
          <w:szCs w:val="21"/>
          <w:shd w:val="clear" w:color="auto" w:fill="FFFFFF"/>
        </w:rPr>
        <w:t> </w:t>
      </w:r>
      <w:r>
        <w:rPr>
          <w:rFonts w:cs="Arial"/>
          <w:color w:val="222222"/>
          <w:sz w:val="21"/>
          <w:szCs w:val="21"/>
          <w:shd w:val="clear" w:color="auto" w:fill="FFFFFF"/>
        </w:rPr>
        <w:t>19, no. 19 (2013): 5533-5540.</w:t>
      </w:r>
    </w:p>
    <w:p w:rsidR="003307EA" w:rsidRPr="005645CA" w:rsidRDefault="003307EA" w:rsidP="003307EA">
      <w:pPr>
        <w:rPr>
          <w:rFonts w:cs="Arial"/>
          <w:sz w:val="20"/>
          <w:szCs w:val="20"/>
        </w:rPr>
      </w:pPr>
    </w:p>
    <w:p w:rsidR="003307EA" w:rsidRDefault="003307EA" w:rsidP="003307EA">
      <w:pPr>
        <w:rPr>
          <w:rFonts w:cs="Arial"/>
          <w:sz w:val="20"/>
          <w:szCs w:val="20"/>
        </w:rPr>
      </w:pPr>
      <w:proofErr w:type="spellStart"/>
      <w:proofErr w:type="gramStart"/>
      <w:r w:rsidRPr="005645CA">
        <w:rPr>
          <w:rFonts w:cs="Arial"/>
          <w:sz w:val="20"/>
          <w:szCs w:val="20"/>
        </w:rPr>
        <w:t>Bianchini</w:t>
      </w:r>
      <w:proofErr w:type="spellEnd"/>
      <w:r w:rsidRPr="005645CA">
        <w:rPr>
          <w:rFonts w:cs="Arial"/>
          <w:sz w:val="20"/>
          <w:szCs w:val="20"/>
        </w:rPr>
        <w:t xml:space="preserve">, </w:t>
      </w:r>
      <w:proofErr w:type="spellStart"/>
      <w:r w:rsidRPr="005645CA">
        <w:rPr>
          <w:rFonts w:cs="Arial"/>
          <w:sz w:val="20"/>
          <w:szCs w:val="20"/>
        </w:rPr>
        <w:t>Giampaolo</w:t>
      </w:r>
      <w:proofErr w:type="spellEnd"/>
      <w:r w:rsidRPr="005645CA">
        <w:rPr>
          <w:rFonts w:cs="Arial"/>
          <w:sz w:val="20"/>
          <w:szCs w:val="20"/>
        </w:rPr>
        <w:t xml:space="preserve">, Justin M. </w:t>
      </w:r>
      <w:proofErr w:type="spellStart"/>
      <w:r w:rsidRPr="005645CA">
        <w:rPr>
          <w:rFonts w:cs="Arial"/>
          <w:sz w:val="20"/>
          <w:szCs w:val="20"/>
        </w:rPr>
        <w:t>Balko</w:t>
      </w:r>
      <w:proofErr w:type="spellEnd"/>
      <w:r w:rsidRPr="005645CA">
        <w:rPr>
          <w:rFonts w:cs="Arial"/>
          <w:sz w:val="20"/>
          <w:szCs w:val="20"/>
        </w:rPr>
        <w:t>, Ingrid A. Mayer, Melinda E. Sanders, and Luca Gianni.</w:t>
      </w:r>
      <w:proofErr w:type="gramEnd"/>
      <w:r w:rsidRPr="005645CA">
        <w:rPr>
          <w:rFonts w:cs="Arial"/>
          <w:sz w:val="20"/>
          <w:szCs w:val="20"/>
        </w:rPr>
        <w:t xml:space="preserve"> "Triple-negative breast cancer: challenges and opportunities of a heterogeneous disease." </w:t>
      </w:r>
      <w:r w:rsidRPr="005645CA">
        <w:rPr>
          <w:rFonts w:cs="Arial"/>
          <w:i/>
          <w:sz w:val="20"/>
          <w:szCs w:val="20"/>
        </w:rPr>
        <w:t>Nature Reviews Clinical Oncology</w:t>
      </w:r>
      <w:r w:rsidRPr="005645CA">
        <w:rPr>
          <w:rFonts w:cs="Arial"/>
          <w:sz w:val="20"/>
          <w:szCs w:val="20"/>
        </w:rPr>
        <w:t xml:space="preserve"> (2016).</w:t>
      </w:r>
    </w:p>
    <w:p w:rsidR="003307EA" w:rsidRPr="005645CA" w:rsidRDefault="003307EA" w:rsidP="003307EA">
      <w:pPr>
        <w:rPr>
          <w:rFonts w:cs="Arial"/>
          <w:sz w:val="20"/>
          <w:szCs w:val="20"/>
        </w:rPr>
      </w:pPr>
    </w:p>
    <w:p w:rsidR="003307EA" w:rsidRDefault="003307EA" w:rsidP="003307EA">
      <w:pPr>
        <w:rPr>
          <w:rFonts w:cs="Arial"/>
          <w:sz w:val="20"/>
          <w:szCs w:val="20"/>
        </w:rPr>
      </w:pPr>
      <w:r w:rsidRPr="005645CA">
        <w:rPr>
          <w:rFonts w:cs="Arial"/>
          <w:sz w:val="20"/>
          <w:szCs w:val="20"/>
        </w:rPr>
        <w:t xml:space="preserve">Mills AM, C EG, S MW, C MB, Atkins KA. Pure Apocrine Carcinomas Represent a Clinicopathologically Distinct Androgen Receptor-Positive Subset of Triple-Negative Breast Cancers. </w:t>
      </w:r>
      <w:proofErr w:type="gramStart"/>
      <w:r w:rsidRPr="005645CA">
        <w:rPr>
          <w:rFonts w:cs="Arial"/>
          <w:i/>
          <w:sz w:val="20"/>
          <w:szCs w:val="20"/>
        </w:rPr>
        <w:t xml:space="preserve">Am J </w:t>
      </w:r>
      <w:proofErr w:type="spellStart"/>
      <w:r w:rsidRPr="005645CA">
        <w:rPr>
          <w:rFonts w:cs="Arial"/>
          <w:i/>
          <w:sz w:val="20"/>
          <w:szCs w:val="20"/>
        </w:rPr>
        <w:t>Surg</w:t>
      </w:r>
      <w:proofErr w:type="spellEnd"/>
      <w:r w:rsidRPr="005645CA">
        <w:rPr>
          <w:rFonts w:cs="Arial"/>
          <w:i/>
          <w:sz w:val="20"/>
          <w:szCs w:val="20"/>
        </w:rPr>
        <w:t xml:space="preserve"> </w:t>
      </w:r>
      <w:proofErr w:type="spellStart"/>
      <w:r w:rsidRPr="005645CA">
        <w:rPr>
          <w:rFonts w:cs="Arial"/>
          <w:i/>
          <w:sz w:val="20"/>
          <w:szCs w:val="20"/>
        </w:rPr>
        <w:t>Pathol</w:t>
      </w:r>
      <w:proofErr w:type="spellEnd"/>
      <w:r w:rsidRPr="005645CA">
        <w:rPr>
          <w:rFonts w:cs="Arial"/>
          <w:sz w:val="20"/>
          <w:szCs w:val="20"/>
        </w:rPr>
        <w:t>.</w:t>
      </w:r>
      <w:proofErr w:type="gramEnd"/>
      <w:r w:rsidRPr="005645CA">
        <w:rPr>
          <w:rFonts w:cs="Arial"/>
          <w:sz w:val="20"/>
          <w:szCs w:val="20"/>
        </w:rPr>
        <w:t xml:space="preserve"> 2016</w:t>
      </w:r>
      <w:proofErr w:type="gramStart"/>
      <w:r w:rsidRPr="005645CA">
        <w:rPr>
          <w:rFonts w:cs="Arial"/>
          <w:sz w:val="20"/>
          <w:szCs w:val="20"/>
        </w:rPr>
        <w:t>;40:1109</w:t>
      </w:r>
      <w:proofErr w:type="gramEnd"/>
      <w:r w:rsidRPr="005645CA">
        <w:rPr>
          <w:rFonts w:cs="Arial"/>
          <w:sz w:val="20"/>
          <w:szCs w:val="20"/>
        </w:rPr>
        <w:t>-16.</w:t>
      </w:r>
    </w:p>
    <w:p w:rsidR="003307EA" w:rsidRDefault="003307EA" w:rsidP="003307EA">
      <w:pPr>
        <w:rPr>
          <w:rFonts w:cs="Arial"/>
          <w:sz w:val="20"/>
          <w:szCs w:val="20"/>
        </w:rPr>
      </w:pPr>
    </w:p>
    <w:p w:rsidR="003307EA" w:rsidRDefault="003307EA" w:rsidP="003307EA">
      <w:pPr>
        <w:rPr>
          <w:rFonts w:cs="Arial"/>
          <w:sz w:val="20"/>
          <w:szCs w:val="20"/>
        </w:rPr>
      </w:pPr>
      <w:proofErr w:type="spellStart"/>
      <w:proofErr w:type="gramStart"/>
      <w:r w:rsidRPr="005645CA">
        <w:rPr>
          <w:rFonts w:cs="Arial"/>
          <w:sz w:val="20"/>
          <w:szCs w:val="20"/>
        </w:rPr>
        <w:t>Safarpour</w:t>
      </w:r>
      <w:proofErr w:type="spellEnd"/>
      <w:r w:rsidRPr="005645CA">
        <w:rPr>
          <w:rFonts w:cs="Arial"/>
          <w:sz w:val="20"/>
          <w:szCs w:val="20"/>
        </w:rPr>
        <w:t xml:space="preserve">, </w:t>
      </w:r>
      <w:proofErr w:type="spellStart"/>
      <w:r w:rsidRPr="005645CA">
        <w:rPr>
          <w:rFonts w:cs="Arial"/>
          <w:sz w:val="20"/>
          <w:szCs w:val="20"/>
        </w:rPr>
        <w:t>Damoun</w:t>
      </w:r>
      <w:proofErr w:type="spellEnd"/>
      <w:r w:rsidRPr="005645CA">
        <w:rPr>
          <w:rFonts w:cs="Arial"/>
          <w:sz w:val="20"/>
          <w:szCs w:val="20"/>
        </w:rPr>
        <w:t xml:space="preserve">, and </w:t>
      </w:r>
      <w:proofErr w:type="spellStart"/>
      <w:r w:rsidRPr="005645CA">
        <w:rPr>
          <w:rFonts w:cs="Arial"/>
          <w:sz w:val="20"/>
          <w:szCs w:val="20"/>
        </w:rPr>
        <w:t>Fattaneh</w:t>
      </w:r>
      <w:proofErr w:type="spellEnd"/>
      <w:r w:rsidRPr="005645CA">
        <w:rPr>
          <w:rFonts w:cs="Arial"/>
          <w:sz w:val="20"/>
          <w:szCs w:val="20"/>
        </w:rPr>
        <w:t xml:space="preserve"> A. </w:t>
      </w:r>
      <w:proofErr w:type="spellStart"/>
      <w:r w:rsidRPr="005645CA">
        <w:rPr>
          <w:rFonts w:cs="Arial"/>
          <w:sz w:val="20"/>
          <w:szCs w:val="20"/>
        </w:rPr>
        <w:t>Tavassoli</w:t>
      </w:r>
      <w:proofErr w:type="spellEnd"/>
      <w:r w:rsidRPr="005645CA">
        <w:rPr>
          <w:rFonts w:cs="Arial"/>
          <w:sz w:val="20"/>
          <w:szCs w:val="20"/>
        </w:rPr>
        <w:t>.</w:t>
      </w:r>
      <w:proofErr w:type="gramEnd"/>
      <w:r w:rsidRPr="005645CA">
        <w:rPr>
          <w:rFonts w:cs="Arial"/>
          <w:sz w:val="20"/>
          <w:szCs w:val="20"/>
        </w:rPr>
        <w:t xml:space="preserve"> "A targetable androgen receptor-positive breast cancer subtype hidden among the triple-negative cancers." </w:t>
      </w:r>
      <w:r w:rsidRPr="005645CA">
        <w:rPr>
          <w:rFonts w:cs="Arial"/>
          <w:i/>
          <w:sz w:val="20"/>
          <w:szCs w:val="20"/>
        </w:rPr>
        <w:t>Archives of Pathology and Laboratory Medicine</w:t>
      </w:r>
      <w:r w:rsidRPr="005645CA">
        <w:rPr>
          <w:rFonts w:cs="Arial"/>
          <w:sz w:val="20"/>
          <w:szCs w:val="20"/>
        </w:rPr>
        <w:t xml:space="preserve"> 139, no. 5 (2014): 612-617.</w:t>
      </w:r>
    </w:p>
    <w:p w:rsidR="003307EA" w:rsidRPr="005645CA" w:rsidRDefault="003307EA" w:rsidP="003307EA">
      <w:pPr>
        <w:rPr>
          <w:rFonts w:cs="Arial"/>
          <w:sz w:val="20"/>
          <w:szCs w:val="20"/>
        </w:rPr>
      </w:pPr>
    </w:p>
    <w:p w:rsidR="003307EA" w:rsidRDefault="003307EA" w:rsidP="003307EA">
      <w:pPr>
        <w:rPr>
          <w:rFonts w:cs="Arial"/>
          <w:sz w:val="20"/>
          <w:szCs w:val="20"/>
        </w:rPr>
      </w:pPr>
      <w:r w:rsidRPr="005645CA">
        <w:rPr>
          <w:rFonts w:cs="Arial"/>
          <w:sz w:val="20"/>
          <w:szCs w:val="20"/>
        </w:rPr>
        <w:t xml:space="preserve">Lehmann BD, Bauer JA, Chen X, Sanders ME, </w:t>
      </w:r>
      <w:proofErr w:type="spellStart"/>
      <w:r w:rsidRPr="005645CA">
        <w:rPr>
          <w:rFonts w:cs="Arial"/>
          <w:sz w:val="20"/>
          <w:szCs w:val="20"/>
        </w:rPr>
        <w:t>Chakravarthy</w:t>
      </w:r>
      <w:proofErr w:type="spellEnd"/>
      <w:r w:rsidRPr="005645CA">
        <w:rPr>
          <w:rFonts w:cs="Arial"/>
          <w:sz w:val="20"/>
          <w:szCs w:val="20"/>
        </w:rPr>
        <w:t xml:space="preserve"> AB, </w:t>
      </w:r>
      <w:proofErr w:type="spellStart"/>
      <w:r w:rsidRPr="005645CA">
        <w:rPr>
          <w:rFonts w:cs="Arial"/>
          <w:sz w:val="20"/>
          <w:szCs w:val="20"/>
        </w:rPr>
        <w:t>Shyr</w:t>
      </w:r>
      <w:proofErr w:type="spellEnd"/>
      <w:r w:rsidRPr="005645CA">
        <w:rPr>
          <w:rFonts w:cs="Arial"/>
          <w:sz w:val="20"/>
          <w:szCs w:val="20"/>
        </w:rPr>
        <w:t xml:space="preserve"> Y, et al. Identification of human triple-negative breast cancer subtypes and preclinical models for selection of targeted therapies</w:t>
      </w:r>
      <w:r w:rsidRPr="005645CA">
        <w:rPr>
          <w:rFonts w:cs="Arial"/>
          <w:i/>
          <w:sz w:val="20"/>
          <w:szCs w:val="20"/>
        </w:rPr>
        <w:t xml:space="preserve">. J </w:t>
      </w:r>
      <w:proofErr w:type="spellStart"/>
      <w:r w:rsidRPr="005645CA">
        <w:rPr>
          <w:rFonts w:cs="Arial"/>
          <w:i/>
          <w:sz w:val="20"/>
          <w:szCs w:val="20"/>
        </w:rPr>
        <w:t>Clin</w:t>
      </w:r>
      <w:proofErr w:type="spellEnd"/>
      <w:r w:rsidRPr="005645CA">
        <w:rPr>
          <w:rFonts w:cs="Arial"/>
          <w:i/>
          <w:sz w:val="20"/>
          <w:szCs w:val="20"/>
        </w:rPr>
        <w:t xml:space="preserve"> Invest</w:t>
      </w:r>
      <w:r w:rsidRPr="005645CA">
        <w:rPr>
          <w:rFonts w:cs="Arial"/>
          <w:sz w:val="20"/>
          <w:szCs w:val="20"/>
        </w:rPr>
        <w:t>. 2011</w:t>
      </w:r>
      <w:proofErr w:type="gramStart"/>
      <w:r w:rsidRPr="005645CA">
        <w:rPr>
          <w:rFonts w:cs="Arial"/>
          <w:sz w:val="20"/>
          <w:szCs w:val="20"/>
        </w:rPr>
        <w:t>;121:2750</w:t>
      </w:r>
      <w:proofErr w:type="gramEnd"/>
      <w:r w:rsidRPr="005645CA">
        <w:rPr>
          <w:rFonts w:cs="Arial"/>
          <w:sz w:val="20"/>
          <w:szCs w:val="20"/>
        </w:rPr>
        <w:t>-67.</w:t>
      </w: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Default="00CC4442" w:rsidP="003307EA">
      <w:pPr>
        <w:rPr>
          <w:rFonts w:cs="Arial"/>
          <w:sz w:val="20"/>
          <w:szCs w:val="20"/>
        </w:rPr>
      </w:pPr>
    </w:p>
    <w:p w:rsidR="00CC4442" w:rsidRPr="005645CA" w:rsidRDefault="00CC4442" w:rsidP="003307EA">
      <w:pPr>
        <w:rPr>
          <w:rFonts w:cs="Arial"/>
          <w:sz w:val="20"/>
          <w:szCs w:val="20"/>
        </w:rPr>
      </w:pPr>
    </w:p>
    <w:p w:rsidR="003307EA" w:rsidRDefault="003307EA">
      <w:pPr>
        <w:pStyle w:val="normal0"/>
      </w:pPr>
    </w:p>
    <w:sectPr w:rsidR="003307EA" w:rsidSect="00552495">
      <w:pgSz w:w="12240" w:h="15840"/>
      <w:pgMar w:top="1440" w:right="1440" w:bottom="1440" w:left="1440" w:header="720" w:footer="720" w:gutter="0"/>
      <w:pgNumType w:start="1"/>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01734A"/>
    <w:multiLevelType w:val="hybridMultilevel"/>
    <w:tmpl w:val="99AA992E"/>
    <w:lvl w:ilvl="0" w:tplc="7256AEBC">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0B21DA"/>
    <w:multiLevelType w:val="hybridMultilevel"/>
    <w:tmpl w:val="D78EFA44"/>
    <w:lvl w:ilvl="0" w:tplc="84C63D70">
      <w:start w:val="1"/>
      <w:numFmt w:val="bullet"/>
      <w:lvlText w:val="•"/>
      <w:lvlJc w:val="left"/>
      <w:pPr>
        <w:tabs>
          <w:tab w:val="num" w:pos="720"/>
        </w:tabs>
        <w:ind w:left="720" w:hanging="360"/>
      </w:pPr>
      <w:rPr>
        <w:rFonts w:ascii="Arial" w:hAnsi="Arial" w:hint="default"/>
      </w:rPr>
    </w:lvl>
    <w:lvl w:ilvl="1" w:tplc="5E24F070" w:tentative="1">
      <w:start w:val="1"/>
      <w:numFmt w:val="bullet"/>
      <w:lvlText w:val="•"/>
      <w:lvlJc w:val="left"/>
      <w:pPr>
        <w:tabs>
          <w:tab w:val="num" w:pos="1440"/>
        </w:tabs>
        <w:ind w:left="1440" w:hanging="360"/>
      </w:pPr>
      <w:rPr>
        <w:rFonts w:ascii="Arial" w:hAnsi="Arial" w:hint="default"/>
      </w:rPr>
    </w:lvl>
    <w:lvl w:ilvl="2" w:tplc="C27C9174" w:tentative="1">
      <w:start w:val="1"/>
      <w:numFmt w:val="bullet"/>
      <w:lvlText w:val="•"/>
      <w:lvlJc w:val="left"/>
      <w:pPr>
        <w:tabs>
          <w:tab w:val="num" w:pos="2160"/>
        </w:tabs>
        <w:ind w:left="2160" w:hanging="360"/>
      </w:pPr>
      <w:rPr>
        <w:rFonts w:ascii="Arial" w:hAnsi="Arial" w:hint="default"/>
      </w:rPr>
    </w:lvl>
    <w:lvl w:ilvl="3" w:tplc="84E60BE0" w:tentative="1">
      <w:start w:val="1"/>
      <w:numFmt w:val="bullet"/>
      <w:lvlText w:val="•"/>
      <w:lvlJc w:val="left"/>
      <w:pPr>
        <w:tabs>
          <w:tab w:val="num" w:pos="2880"/>
        </w:tabs>
        <w:ind w:left="2880" w:hanging="360"/>
      </w:pPr>
      <w:rPr>
        <w:rFonts w:ascii="Arial" w:hAnsi="Arial" w:hint="default"/>
      </w:rPr>
    </w:lvl>
    <w:lvl w:ilvl="4" w:tplc="E81E47B2" w:tentative="1">
      <w:start w:val="1"/>
      <w:numFmt w:val="bullet"/>
      <w:lvlText w:val="•"/>
      <w:lvlJc w:val="left"/>
      <w:pPr>
        <w:tabs>
          <w:tab w:val="num" w:pos="3600"/>
        </w:tabs>
        <w:ind w:left="3600" w:hanging="360"/>
      </w:pPr>
      <w:rPr>
        <w:rFonts w:ascii="Arial" w:hAnsi="Arial" w:hint="default"/>
      </w:rPr>
    </w:lvl>
    <w:lvl w:ilvl="5" w:tplc="07A6E29A" w:tentative="1">
      <w:start w:val="1"/>
      <w:numFmt w:val="bullet"/>
      <w:lvlText w:val="•"/>
      <w:lvlJc w:val="left"/>
      <w:pPr>
        <w:tabs>
          <w:tab w:val="num" w:pos="4320"/>
        </w:tabs>
        <w:ind w:left="4320" w:hanging="360"/>
      </w:pPr>
      <w:rPr>
        <w:rFonts w:ascii="Arial" w:hAnsi="Arial" w:hint="default"/>
      </w:rPr>
    </w:lvl>
    <w:lvl w:ilvl="6" w:tplc="DC7E5810" w:tentative="1">
      <w:start w:val="1"/>
      <w:numFmt w:val="bullet"/>
      <w:lvlText w:val="•"/>
      <w:lvlJc w:val="left"/>
      <w:pPr>
        <w:tabs>
          <w:tab w:val="num" w:pos="5040"/>
        </w:tabs>
        <w:ind w:left="5040" w:hanging="360"/>
      </w:pPr>
      <w:rPr>
        <w:rFonts w:ascii="Arial" w:hAnsi="Arial" w:hint="default"/>
      </w:rPr>
    </w:lvl>
    <w:lvl w:ilvl="7" w:tplc="D13EC674" w:tentative="1">
      <w:start w:val="1"/>
      <w:numFmt w:val="bullet"/>
      <w:lvlText w:val="•"/>
      <w:lvlJc w:val="left"/>
      <w:pPr>
        <w:tabs>
          <w:tab w:val="num" w:pos="5760"/>
        </w:tabs>
        <w:ind w:left="5760" w:hanging="360"/>
      </w:pPr>
      <w:rPr>
        <w:rFonts w:ascii="Arial" w:hAnsi="Arial" w:hint="default"/>
      </w:rPr>
    </w:lvl>
    <w:lvl w:ilvl="8" w:tplc="EA1244D0" w:tentative="1">
      <w:start w:val="1"/>
      <w:numFmt w:val="bullet"/>
      <w:lvlText w:val="•"/>
      <w:lvlJc w:val="left"/>
      <w:pPr>
        <w:tabs>
          <w:tab w:val="num" w:pos="6480"/>
        </w:tabs>
        <w:ind w:left="6480" w:hanging="360"/>
      </w:pPr>
      <w:rPr>
        <w:rFonts w:ascii="Arial" w:hAnsi="Arial" w:hint="default"/>
      </w:rPr>
    </w:lvl>
  </w:abstractNum>
  <w:abstractNum w:abstractNumId="2">
    <w:nsid w:val="11FF18A3"/>
    <w:multiLevelType w:val="hybridMultilevel"/>
    <w:tmpl w:val="2ECCCD54"/>
    <w:lvl w:ilvl="0" w:tplc="84C63D70">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711253"/>
    <w:multiLevelType w:val="multilevel"/>
    <w:tmpl w:val="577A5F5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nsid w:val="269F6DE5"/>
    <w:multiLevelType w:val="multilevel"/>
    <w:tmpl w:val="261C82C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
    <w:nsid w:val="3235680F"/>
    <w:multiLevelType w:val="multilevel"/>
    <w:tmpl w:val="BD3AE8D8"/>
    <w:lvl w:ilvl="0">
      <w:start w:val="1"/>
      <w:numFmt w:val="decimal"/>
      <w:lvlText w:val="%1."/>
      <w:lvlJc w:val="right"/>
      <w:pPr>
        <w:ind w:left="1080" w:firstLine="700"/>
      </w:pPr>
      <w:rPr>
        <w:rFonts w:ascii="Arial" w:eastAsia="Arial" w:hAnsi="Arial" w:cs="Arial"/>
        <w:b w:val="0"/>
        <w:i w:val="0"/>
        <w:smallCaps w:val="0"/>
        <w:strike w:val="0"/>
        <w:color w:val="000000"/>
        <w:sz w:val="32"/>
        <w:szCs w:val="32"/>
        <w:u w:val="none"/>
        <w:vertAlign w:val="baseline"/>
      </w:rPr>
    </w:lvl>
    <w:lvl w:ilvl="1">
      <w:start w:val="1"/>
      <w:numFmt w:val="bullet"/>
      <w:lvlText w:val="–"/>
      <w:lvlJc w:val="right"/>
      <w:pPr>
        <w:ind w:left="1234" w:firstLine="1040"/>
      </w:pPr>
      <w:rPr>
        <w:rFonts w:ascii="Arial" w:eastAsia="Arial" w:hAnsi="Arial" w:cs="Arial"/>
        <w:b w:val="0"/>
        <w:i w:val="0"/>
        <w:smallCaps w:val="0"/>
        <w:strike w:val="0"/>
        <w:color w:val="000000"/>
        <w:sz w:val="64"/>
        <w:szCs w:val="64"/>
        <w:u w:val="none"/>
        <w:vertAlign w:val="baseline"/>
      </w:rPr>
    </w:lvl>
    <w:lvl w:ilvl="2">
      <w:start w:val="1"/>
      <w:numFmt w:val="bullet"/>
      <w:lvlText w:val="•"/>
      <w:lvlJc w:val="right"/>
      <w:pPr>
        <w:ind w:left="1920" w:firstLine="1760"/>
      </w:pPr>
      <w:rPr>
        <w:rFonts w:ascii="Arial" w:eastAsia="Arial" w:hAnsi="Arial" w:cs="Arial"/>
        <w:b w:val="0"/>
        <w:i w:val="0"/>
        <w:smallCaps w:val="0"/>
        <w:strike w:val="0"/>
        <w:color w:val="000000"/>
        <w:sz w:val="64"/>
        <w:szCs w:val="64"/>
        <w:u w:val="none"/>
        <w:vertAlign w:val="baseline"/>
      </w:rPr>
    </w:lvl>
    <w:lvl w:ilvl="3">
      <w:start w:val="1"/>
      <w:numFmt w:val="bullet"/>
      <w:lvlText w:val="–"/>
      <w:lvlJc w:val="right"/>
      <w:pPr>
        <w:ind w:left="2736" w:firstLine="2480"/>
      </w:pPr>
      <w:rPr>
        <w:rFonts w:ascii="Arial" w:eastAsia="Arial" w:hAnsi="Arial" w:cs="Arial"/>
        <w:b w:val="0"/>
        <w:i w:val="0"/>
        <w:smallCaps w:val="0"/>
        <w:strike w:val="0"/>
        <w:color w:val="000000"/>
        <w:sz w:val="64"/>
        <w:szCs w:val="64"/>
        <w:u w:val="none"/>
        <w:vertAlign w:val="baseline"/>
      </w:rPr>
    </w:lvl>
    <w:lvl w:ilvl="4">
      <w:start w:val="1"/>
      <w:numFmt w:val="bullet"/>
      <w:lvlText w:val="»"/>
      <w:lvlJc w:val="right"/>
      <w:pPr>
        <w:ind w:left="3456" w:firstLine="3200"/>
      </w:pPr>
      <w:rPr>
        <w:rFonts w:ascii="Arial" w:eastAsia="Arial" w:hAnsi="Arial" w:cs="Arial"/>
        <w:b w:val="0"/>
        <w:i w:val="0"/>
        <w:smallCaps w:val="0"/>
        <w:strike w:val="0"/>
        <w:color w:val="000000"/>
        <w:sz w:val="64"/>
        <w:szCs w:val="64"/>
        <w:u w:val="none"/>
        <w:vertAlign w:val="baseline"/>
      </w:rPr>
    </w:lvl>
    <w:lvl w:ilvl="5">
      <w:start w:val="1"/>
      <w:numFmt w:val="bullet"/>
      <w:lvlText w:val="•"/>
      <w:lvlJc w:val="right"/>
      <w:pPr>
        <w:ind w:left="4176" w:firstLine="3920"/>
      </w:pPr>
      <w:rPr>
        <w:rFonts w:ascii="Arial" w:eastAsia="Arial" w:hAnsi="Arial" w:cs="Arial"/>
        <w:b w:val="0"/>
        <w:i w:val="0"/>
        <w:smallCaps w:val="0"/>
        <w:strike w:val="0"/>
        <w:color w:val="000000"/>
        <w:sz w:val="64"/>
        <w:szCs w:val="64"/>
        <w:u w:val="none"/>
        <w:vertAlign w:val="baseline"/>
      </w:rPr>
    </w:lvl>
    <w:lvl w:ilvl="6">
      <w:start w:val="1"/>
      <w:numFmt w:val="bullet"/>
      <w:lvlText w:val="•"/>
      <w:lvlJc w:val="right"/>
      <w:pPr>
        <w:ind w:left="4896" w:firstLine="4640"/>
      </w:pPr>
      <w:rPr>
        <w:rFonts w:ascii="Arial" w:eastAsia="Arial" w:hAnsi="Arial" w:cs="Arial"/>
        <w:b w:val="0"/>
        <w:i w:val="0"/>
        <w:smallCaps w:val="0"/>
        <w:strike w:val="0"/>
        <w:color w:val="000000"/>
        <w:sz w:val="64"/>
        <w:szCs w:val="64"/>
        <w:u w:val="none"/>
        <w:vertAlign w:val="baseline"/>
      </w:rPr>
    </w:lvl>
    <w:lvl w:ilvl="7">
      <w:start w:val="1"/>
      <w:numFmt w:val="bullet"/>
      <w:lvlText w:val="•"/>
      <w:lvlJc w:val="right"/>
      <w:pPr>
        <w:ind w:left="5615" w:firstLine="5360"/>
      </w:pPr>
      <w:rPr>
        <w:rFonts w:ascii="Arial" w:eastAsia="Arial" w:hAnsi="Arial" w:cs="Arial"/>
        <w:b w:val="0"/>
        <w:i w:val="0"/>
        <w:smallCaps w:val="0"/>
        <w:strike w:val="0"/>
        <w:color w:val="000000"/>
        <w:sz w:val="64"/>
        <w:szCs w:val="64"/>
        <w:u w:val="none"/>
        <w:vertAlign w:val="baseline"/>
      </w:rPr>
    </w:lvl>
    <w:lvl w:ilvl="8">
      <w:start w:val="1"/>
      <w:numFmt w:val="bullet"/>
      <w:lvlText w:val="•"/>
      <w:lvlJc w:val="right"/>
      <w:pPr>
        <w:ind w:left="6335" w:firstLine="6080"/>
      </w:pPr>
      <w:rPr>
        <w:rFonts w:ascii="Arial" w:eastAsia="Arial" w:hAnsi="Arial" w:cs="Arial"/>
        <w:b w:val="0"/>
        <w:i w:val="0"/>
        <w:smallCaps w:val="0"/>
        <w:strike w:val="0"/>
        <w:color w:val="000000"/>
        <w:sz w:val="64"/>
        <w:szCs w:val="64"/>
        <w:u w:val="none"/>
        <w:vertAlign w:val="baseline"/>
      </w:rPr>
    </w:lvl>
  </w:abstractNum>
  <w:abstractNum w:abstractNumId="6">
    <w:nsid w:val="36E779D7"/>
    <w:multiLevelType w:val="hybridMultilevel"/>
    <w:tmpl w:val="EF7618CC"/>
    <w:lvl w:ilvl="0" w:tplc="C638FF86">
      <w:start w:val="1"/>
      <w:numFmt w:val="upperLetter"/>
      <w:lvlText w:val="%1."/>
      <w:lvlJc w:val="left"/>
      <w:pPr>
        <w:tabs>
          <w:tab w:val="num" w:pos="720"/>
        </w:tabs>
        <w:ind w:left="720" w:hanging="360"/>
      </w:pPr>
    </w:lvl>
    <w:lvl w:ilvl="1" w:tplc="50C029D6" w:tentative="1">
      <w:start w:val="1"/>
      <w:numFmt w:val="upperLetter"/>
      <w:lvlText w:val="%2."/>
      <w:lvlJc w:val="left"/>
      <w:pPr>
        <w:tabs>
          <w:tab w:val="num" w:pos="1440"/>
        </w:tabs>
        <w:ind w:left="1440" w:hanging="360"/>
      </w:pPr>
    </w:lvl>
    <w:lvl w:ilvl="2" w:tplc="68AC1C92" w:tentative="1">
      <w:start w:val="1"/>
      <w:numFmt w:val="upperLetter"/>
      <w:lvlText w:val="%3."/>
      <w:lvlJc w:val="left"/>
      <w:pPr>
        <w:tabs>
          <w:tab w:val="num" w:pos="2160"/>
        </w:tabs>
        <w:ind w:left="2160" w:hanging="360"/>
      </w:pPr>
    </w:lvl>
    <w:lvl w:ilvl="3" w:tplc="834ECAEE" w:tentative="1">
      <w:start w:val="1"/>
      <w:numFmt w:val="upperLetter"/>
      <w:lvlText w:val="%4."/>
      <w:lvlJc w:val="left"/>
      <w:pPr>
        <w:tabs>
          <w:tab w:val="num" w:pos="2880"/>
        </w:tabs>
        <w:ind w:left="2880" w:hanging="360"/>
      </w:pPr>
    </w:lvl>
    <w:lvl w:ilvl="4" w:tplc="873A259E" w:tentative="1">
      <w:start w:val="1"/>
      <w:numFmt w:val="upperLetter"/>
      <w:lvlText w:val="%5."/>
      <w:lvlJc w:val="left"/>
      <w:pPr>
        <w:tabs>
          <w:tab w:val="num" w:pos="3600"/>
        </w:tabs>
        <w:ind w:left="3600" w:hanging="360"/>
      </w:pPr>
    </w:lvl>
    <w:lvl w:ilvl="5" w:tplc="A5A2E958" w:tentative="1">
      <w:start w:val="1"/>
      <w:numFmt w:val="upperLetter"/>
      <w:lvlText w:val="%6."/>
      <w:lvlJc w:val="left"/>
      <w:pPr>
        <w:tabs>
          <w:tab w:val="num" w:pos="4320"/>
        </w:tabs>
        <w:ind w:left="4320" w:hanging="360"/>
      </w:pPr>
    </w:lvl>
    <w:lvl w:ilvl="6" w:tplc="7E32BF88" w:tentative="1">
      <w:start w:val="1"/>
      <w:numFmt w:val="upperLetter"/>
      <w:lvlText w:val="%7."/>
      <w:lvlJc w:val="left"/>
      <w:pPr>
        <w:tabs>
          <w:tab w:val="num" w:pos="5040"/>
        </w:tabs>
        <w:ind w:left="5040" w:hanging="360"/>
      </w:pPr>
    </w:lvl>
    <w:lvl w:ilvl="7" w:tplc="7A0EF332" w:tentative="1">
      <w:start w:val="1"/>
      <w:numFmt w:val="upperLetter"/>
      <w:lvlText w:val="%8."/>
      <w:lvlJc w:val="left"/>
      <w:pPr>
        <w:tabs>
          <w:tab w:val="num" w:pos="5760"/>
        </w:tabs>
        <w:ind w:left="5760" w:hanging="360"/>
      </w:pPr>
    </w:lvl>
    <w:lvl w:ilvl="8" w:tplc="84D8FB42" w:tentative="1">
      <w:start w:val="1"/>
      <w:numFmt w:val="upperLetter"/>
      <w:lvlText w:val="%9."/>
      <w:lvlJc w:val="left"/>
      <w:pPr>
        <w:tabs>
          <w:tab w:val="num" w:pos="6480"/>
        </w:tabs>
        <w:ind w:left="6480" w:hanging="360"/>
      </w:pPr>
    </w:lvl>
  </w:abstractNum>
  <w:abstractNum w:abstractNumId="7">
    <w:nsid w:val="40BB7EDA"/>
    <w:multiLevelType w:val="hybridMultilevel"/>
    <w:tmpl w:val="AEEE8176"/>
    <w:lvl w:ilvl="0" w:tplc="F718F334">
      <w:start w:val="1"/>
      <w:numFmt w:val="bullet"/>
      <w:lvlText w:val="•"/>
      <w:lvlJc w:val="left"/>
      <w:pPr>
        <w:tabs>
          <w:tab w:val="num" w:pos="720"/>
        </w:tabs>
        <w:ind w:left="720" w:hanging="360"/>
      </w:pPr>
      <w:rPr>
        <w:rFonts w:ascii="Arial" w:hAnsi="Arial" w:hint="default"/>
      </w:rPr>
    </w:lvl>
    <w:lvl w:ilvl="1" w:tplc="D5D6F35C" w:tentative="1">
      <w:start w:val="1"/>
      <w:numFmt w:val="bullet"/>
      <w:lvlText w:val="•"/>
      <w:lvlJc w:val="left"/>
      <w:pPr>
        <w:tabs>
          <w:tab w:val="num" w:pos="1440"/>
        </w:tabs>
        <w:ind w:left="1440" w:hanging="360"/>
      </w:pPr>
      <w:rPr>
        <w:rFonts w:ascii="Arial" w:hAnsi="Arial" w:hint="default"/>
      </w:rPr>
    </w:lvl>
    <w:lvl w:ilvl="2" w:tplc="CDFCE772" w:tentative="1">
      <w:start w:val="1"/>
      <w:numFmt w:val="bullet"/>
      <w:lvlText w:val="•"/>
      <w:lvlJc w:val="left"/>
      <w:pPr>
        <w:tabs>
          <w:tab w:val="num" w:pos="2160"/>
        </w:tabs>
        <w:ind w:left="2160" w:hanging="360"/>
      </w:pPr>
      <w:rPr>
        <w:rFonts w:ascii="Arial" w:hAnsi="Arial" w:hint="default"/>
      </w:rPr>
    </w:lvl>
    <w:lvl w:ilvl="3" w:tplc="7F9E46D0" w:tentative="1">
      <w:start w:val="1"/>
      <w:numFmt w:val="bullet"/>
      <w:lvlText w:val="•"/>
      <w:lvlJc w:val="left"/>
      <w:pPr>
        <w:tabs>
          <w:tab w:val="num" w:pos="2880"/>
        </w:tabs>
        <w:ind w:left="2880" w:hanging="360"/>
      </w:pPr>
      <w:rPr>
        <w:rFonts w:ascii="Arial" w:hAnsi="Arial" w:hint="default"/>
      </w:rPr>
    </w:lvl>
    <w:lvl w:ilvl="4" w:tplc="2828CE2C" w:tentative="1">
      <w:start w:val="1"/>
      <w:numFmt w:val="bullet"/>
      <w:lvlText w:val="•"/>
      <w:lvlJc w:val="left"/>
      <w:pPr>
        <w:tabs>
          <w:tab w:val="num" w:pos="3600"/>
        </w:tabs>
        <w:ind w:left="3600" w:hanging="360"/>
      </w:pPr>
      <w:rPr>
        <w:rFonts w:ascii="Arial" w:hAnsi="Arial" w:hint="default"/>
      </w:rPr>
    </w:lvl>
    <w:lvl w:ilvl="5" w:tplc="16B80DE0" w:tentative="1">
      <w:start w:val="1"/>
      <w:numFmt w:val="bullet"/>
      <w:lvlText w:val="•"/>
      <w:lvlJc w:val="left"/>
      <w:pPr>
        <w:tabs>
          <w:tab w:val="num" w:pos="4320"/>
        </w:tabs>
        <w:ind w:left="4320" w:hanging="360"/>
      </w:pPr>
      <w:rPr>
        <w:rFonts w:ascii="Arial" w:hAnsi="Arial" w:hint="default"/>
      </w:rPr>
    </w:lvl>
    <w:lvl w:ilvl="6" w:tplc="C2ACDB40" w:tentative="1">
      <w:start w:val="1"/>
      <w:numFmt w:val="bullet"/>
      <w:lvlText w:val="•"/>
      <w:lvlJc w:val="left"/>
      <w:pPr>
        <w:tabs>
          <w:tab w:val="num" w:pos="5040"/>
        </w:tabs>
        <w:ind w:left="5040" w:hanging="360"/>
      </w:pPr>
      <w:rPr>
        <w:rFonts w:ascii="Arial" w:hAnsi="Arial" w:hint="default"/>
      </w:rPr>
    </w:lvl>
    <w:lvl w:ilvl="7" w:tplc="B1E2D36E" w:tentative="1">
      <w:start w:val="1"/>
      <w:numFmt w:val="bullet"/>
      <w:lvlText w:val="•"/>
      <w:lvlJc w:val="left"/>
      <w:pPr>
        <w:tabs>
          <w:tab w:val="num" w:pos="5760"/>
        </w:tabs>
        <w:ind w:left="5760" w:hanging="360"/>
      </w:pPr>
      <w:rPr>
        <w:rFonts w:ascii="Arial" w:hAnsi="Arial" w:hint="default"/>
      </w:rPr>
    </w:lvl>
    <w:lvl w:ilvl="8" w:tplc="DD208D0A" w:tentative="1">
      <w:start w:val="1"/>
      <w:numFmt w:val="bullet"/>
      <w:lvlText w:val="•"/>
      <w:lvlJc w:val="left"/>
      <w:pPr>
        <w:tabs>
          <w:tab w:val="num" w:pos="6480"/>
        </w:tabs>
        <w:ind w:left="6480" w:hanging="360"/>
      </w:pPr>
      <w:rPr>
        <w:rFonts w:ascii="Arial" w:hAnsi="Arial" w:hint="default"/>
      </w:rPr>
    </w:lvl>
  </w:abstractNum>
  <w:abstractNum w:abstractNumId="8">
    <w:nsid w:val="4B276C7A"/>
    <w:multiLevelType w:val="hybridMultilevel"/>
    <w:tmpl w:val="9F7AB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B760749"/>
    <w:multiLevelType w:val="hybridMultilevel"/>
    <w:tmpl w:val="6E90096C"/>
    <w:lvl w:ilvl="0" w:tplc="F5F2F692">
      <w:start w:val="1"/>
      <w:numFmt w:val="bullet"/>
      <w:lvlText w:val="•"/>
      <w:lvlJc w:val="left"/>
      <w:pPr>
        <w:tabs>
          <w:tab w:val="num" w:pos="720"/>
        </w:tabs>
        <w:ind w:left="720" w:hanging="360"/>
      </w:pPr>
      <w:rPr>
        <w:rFonts w:ascii="Arial" w:hAnsi="Arial" w:hint="default"/>
      </w:rPr>
    </w:lvl>
    <w:lvl w:ilvl="1" w:tplc="06F42224" w:tentative="1">
      <w:start w:val="1"/>
      <w:numFmt w:val="bullet"/>
      <w:lvlText w:val="•"/>
      <w:lvlJc w:val="left"/>
      <w:pPr>
        <w:tabs>
          <w:tab w:val="num" w:pos="1440"/>
        </w:tabs>
        <w:ind w:left="1440" w:hanging="360"/>
      </w:pPr>
      <w:rPr>
        <w:rFonts w:ascii="Arial" w:hAnsi="Arial" w:hint="default"/>
      </w:rPr>
    </w:lvl>
    <w:lvl w:ilvl="2" w:tplc="2462101E" w:tentative="1">
      <w:start w:val="1"/>
      <w:numFmt w:val="bullet"/>
      <w:lvlText w:val="•"/>
      <w:lvlJc w:val="left"/>
      <w:pPr>
        <w:tabs>
          <w:tab w:val="num" w:pos="2160"/>
        </w:tabs>
        <w:ind w:left="2160" w:hanging="360"/>
      </w:pPr>
      <w:rPr>
        <w:rFonts w:ascii="Arial" w:hAnsi="Arial" w:hint="default"/>
      </w:rPr>
    </w:lvl>
    <w:lvl w:ilvl="3" w:tplc="C00E8E0E" w:tentative="1">
      <w:start w:val="1"/>
      <w:numFmt w:val="bullet"/>
      <w:lvlText w:val="•"/>
      <w:lvlJc w:val="left"/>
      <w:pPr>
        <w:tabs>
          <w:tab w:val="num" w:pos="2880"/>
        </w:tabs>
        <w:ind w:left="2880" w:hanging="360"/>
      </w:pPr>
      <w:rPr>
        <w:rFonts w:ascii="Arial" w:hAnsi="Arial" w:hint="default"/>
      </w:rPr>
    </w:lvl>
    <w:lvl w:ilvl="4" w:tplc="25441012" w:tentative="1">
      <w:start w:val="1"/>
      <w:numFmt w:val="bullet"/>
      <w:lvlText w:val="•"/>
      <w:lvlJc w:val="left"/>
      <w:pPr>
        <w:tabs>
          <w:tab w:val="num" w:pos="3600"/>
        </w:tabs>
        <w:ind w:left="3600" w:hanging="360"/>
      </w:pPr>
      <w:rPr>
        <w:rFonts w:ascii="Arial" w:hAnsi="Arial" w:hint="default"/>
      </w:rPr>
    </w:lvl>
    <w:lvl w:ilvl="5" w:tplc="D424F58C" w:tentative="1">
      <w:start w:val="1"/>
      <w:numFmt w:val="bullet"/>
      <w:lvlText w:val="•"/>
      <w:lvlJc w:val="left"/>
      <w:pPr>
        <w:tabs>
          <w:tab w:val="num" w:pos="4320"/>
        </w:tabs>
        <w:ind w:left="4320" w:hanging="360"/>
      </w:pPr>
      <w:rPr>
        <w:rFonts w:ascii="Arial" w:hAnsi="Arial" w:hint="default"/>
      </w:rPr>
    </w:lvl>
    <w:lvl w:ilvl="6" w:tplc="A83481CA" w:tentative="1">
      <w:start w:val="1"/>
      <w:numFmt w:val="bullet"/>
      <w:lvlText w:val="•"/>
      <w:lvlJc w:val="left"/>
      <w:pPr>
        <w:tabs>
          <w:tab w:val="num" w:pos="5040"/>
        </w:tabs>
        <w:ind w:left="5040" w:hanging="360"/>
      </w:pPr>
      <w:rPr>
        <w:rFonts w:ascii="Arial" w:hAnsi="Arial" w:hint="default"/>
      </w:rPr>
    </w:lvl>
    <w:lvl w:ilvl="7" w:tplc="AB7A094E" w:tentative="1">
      <w:start w:val="1"/>
      <w:numFmt w:val="bullet"/>
      <w:lvlText w:val="•"/>
      <w:lvlJc w:val="left"/>
      <w:pPr>
        <w:tabs>
          <w:tab w:val="num" w:pos="5760"/>
        </w:tabs>
        <w:ind w:left="5760" w:hanging="360"/>
      </w:pPr>
      <w:rPr>
        <w:rFonts w:ascii="Arial" w:hAnsi="Arial" w:hint="default"/>
      </w:rPr>
    </w:lvl>
    <w:lvl w:ilvl="8" w:tplc="569ADE28" w:tentative="1">
      <w:start w:val="1"/>
      <w:numFmt w:val="bullet"/>
      <w:lvlText w:val="•"/>
      <w:lvlJc w:val="left"/>
      <w:pPr>
        <w:tabs>
          <w:tab w:val="num" w:pos="6480"/>
        </w:tabs>
        <w:ind w:left="6480" w:hanging="360"/>
      </w:pPr>
      <w:rPr>
        <w:rFonts w:ascii="Arial" w:hAnsi="Arial" w:hint="default"/>
      </w:rPr>
    </w:lvl>
  </w:abstractNum>
  <w:abstractNum w:abstractNumId="10">
    <w:nsid w:val="70205A7D"/>
    <w:multiLevelType w:val="hybridMultilevel"/>
    <w:tmpl w:val="76E2420C"/>
    <w:lvl w:ilvl="0" w:tplc="1774166A">
      <w:start w:val="1"/>
      <w:numFmt w:val="bullet"/>
      <w:lvlText w:val="•"/>
      <w:lvlJc w:val="left"/>
      <w:pPr>
        <w:tabs>
          <w:tab w:val="num" w:pos="720"/>
        </w:tabs>
        <w:ind w:left="720" w:hanging="360"/>
      </w:pPr>
      <w:rPr>
        <w:rFonts w:ascii="Arial" w:hAnsi="Arial" w:hint="default"/>
      </w:rPr>
    </w:lvl>
    <w:lvl w:ilvl="1" w:tplc="50BEF898" w:tentative="1">
      <w:start w:val="1"/>
      <w:numFmt w:val="bullet"/>
      <w:lvlText w:val="•"/>
      <w:lvlJc w:val="left"/>
      <w:pPr>
        <w:tabs>
          <w:tab w:val="num" w:pos="1440"/>
        </w:tabs>
        <w:ind w:left="1440" w:hanging="360"/>
      </w:pPr>
      <w:rPr>
        <w:rFonts w:ascii="Arial" w:hAnsi="Arial" w:hint="default"/>
      </w:rPr>
    </w:lvl>
    <w:lvl w:ilvl="2" w:tplc="70863570" w:tentative="1">
      <w:start w:val="1"/>
      <w:numFmt w:val="bullet"/>
      <w:lvlText w:val="•"/>
      <w:lvlJc w:val="left"/>
      <w:pPr>
        <w:tabs>
          <w:tab w:val="num" w:pos="2160"/>
        </w:tabs>
        <w:ind w:left="2160" w:hanging="360"/>
      </w:pPr>
      <w:rPr>
        <w:rFonts w:ascii="Arial" w:hAnsi="Arial" w:hint="default"/>
      </w:rPr>
    </w:lvl>
    <w:lvl w:ilvl="3" w:tplc="7B30505E" w:tentative="1">
      <w:start w:val="1"/>
      <w:numFmt w:val="bullet"/>
      <w:lvlText w:val="•"/>
      <w:lvlJc w:val="left"/>
      <w:pPr>
        <w:tabs>
          <w:tab w:val="num" w:pos="2880"/>
        </w:tabs>
        <w:ind w:left="2880" w:hanging="360"/>
      </w:pPr>
      <w:rPr>
        <w:rFonts w:ascii="Arial" w:hAnsi="Arial" w:hint="default"/>
      </w:rPr>
    </w:lvl>
    <w:lvl w:ilvl="4" w:tplc="7E5AC7AE" w:tentative="1">
      <w:start w:val="1"/>
      <w:numFmt w:val="bullet"/>
      <w:lvlText w:val="•"/>
      <w:lvlJc w:val="left"/>
      <w:pPr>
        <w:tabs>
          <w:tab w:val="num" w:pos="3600"/>
        </w:tabs>
        <w:ind w:left="3600" w:hanging="360"/>
      </w:pPr>
      <w:rPr>
        <w:rFonts w:ascii="Arial" w:hAnsi="Arial" w:hint="default"/>
      </w:rPr>
    </w:lvl>
    <w:lvl w:ilvl="5" w:tplc="06E847DC" w:tentative="1">
      <w:start w:val="1"/>
      <w:numFmt w:val="bullet"/>
      <w:lvlText w:val="•"/>
      <w:lvlJc w:val="left"/>
      <w:pPr>
        <w:tabs>
          <w:tab w:val="num" w:pos="4320"/>
        </w:tabs>
        <w:ind w:left="4320" w:hanging="360"/>
      </w:pPr>
      <w:rPr>
        <w:rFonts w:ascii="Arial" w:hAnsi="Arial" w:hint="default"/>
      </w:rPr>
    </w:lvl>
    <w:lvl w:ilvl="6" w:tplc="16366C06" w:tentative="1">
      <w:start w:val="1"/>
      <w:numFmt w:val="bullet"/>
      <w:lvlText w:val="•"/>
      <w:lvlJc w:val="left"/>
      <w:pPr>
        <w:tabs>
          <w:tab w:val="num" w:pos="5040"/>
        </w:tabs>
        <w:ind w:left="5040" w:hanging="360"/>
      </w:pPr>
      <w:rPr>
        <w:rFonts w:ascii="Arial" w:hAnsi="Arial" w:hint="default"/>
      </w:rPr>
    </w:lvl>
    <w:lvl w:ilvl="7" w:tplc="8D6A858A" w:tentative="1">
      <w:start w:val="1"/>
      <w:numFmt w:val="bullet"/>
      <w:lvlText w:val="•"/>
      <w:lvlJc w:val="left"/>
      <w:pPr>
        <w:tabs>
          <w:tab w:val="num" w:pos="5760"/>
        </w:tabs>
        <w:ind w:left="5760" w:hanging="360"/>
      </w:pPr>
      <w:rPr>
        <w:rFonts w:ascii="Arial" w:hAnsi="Arial" w:hint="default"/>
      </w:rPr>
    </w:lvl>
    <w:lvl w:ilvl="8" w:tplc="74901492"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5"/>
  </w:num>
  <w:num w:numId="3">
    <w:abstractNumId w:val="3"/>
  </w:num>
  <w:num w:numId="4">
    <w:abstractNumId w:val="1"/>
  </w:num>
  <w:num w:numId="5">
    <w:abstractNumId w:val="7"/>
  </w:num>
  <w:num w:numId="6">
    <w:abstractNumId w:val="2"/>
  </w:num>
  <w:num w:numId="7">
    <w:abstractNumId w:val="9"/>
  </w:num>
  <w:num w:numId="8">
    <w:abstractNumId w:val="10"/>
  </w:num>
  <w:num w:numId="9">
    <w:abstractNumId w:val="6"/>
  </w:num>
  <w:num w:numId="10">
    <w:abstractNumId w:val="8"/>
  </w:num>
  <w:num w:numId="1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proofState w:spelling="clean" w:grammar="clean"/>
  <w:defaultTabStop w:val="720"/>
  <w:characterSpacingControl w:val="doNotCompress"/>
  <w:compat/>
  <w:rsids>
    <w:rsidRoot w:val="00552495"/>
    <w:rsid w:val="00183C38"/>
    <w:rsid w:val="003307EA"/>
    <w:rsid w:val="0048345B"/>
    <w:rsid w:val="00552495"/>
    <w:rsid w:val="005E6A92"/>
    <w:rsid w:val="006C1866"/>
    <w:rsid w:val="006D6E5D"/>
    <w:rsid w:val="006E71A7"/>
    <w:rsid w:val="00754EDB"/>
    <w:rsid w:val="00813E6A"/>
    <w:rsid w:val="008D18FE"/>
    <w:rsid w:val="00B65452"/>
    <w:rsid w:val="00C4774B"/>
    <w:rsid w:val="00CC4442"/>
    <w:rsid w:val="00CC5771"/>
    <w:rsid w:val="00EC085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4EDB"/>
  </w:style>
  <w:style w:type="paragraph" w:styleId="Heading1">
    <w:name w:val="heading 1"/>
    <w:basedOn w:val="normal0"/>
    <w:next w:val="normal0"/>
    <w:rsid w:val="00552495"/>
    <w:pPr>
      <w:keepNext/>
      <w:keepLines/>
      <w:spacing w:before="480" w:after="120"/>
      <w:contextualSpacing/>
      <w:outlineLvl w:val="0"/>
    </w:pPr>
    <w:rPr>
      <w:b/>
      <w:sz w:val="48"/>
      <w:szCs w:val="48"/>
    </w:rPr>
  </w:style>
  <w:style w:type="paragraph" w:styleId="Heading2">
    <w:name w:val="heading 2"/>
    <w:basedOn w:val="normal0"/>
    <w:next w:val="normal0"/>
    <w:rsid w:val="00552495"/>
    <w:pPr>
      <w:keepNext/>
      <w:keepLines/>
      <w:spacing w:before="360" w:after="80"/>
      <w:contextualSpacing/>
      <w:outlineLvl w:val="1"/>
    </w:pPr>
    <w:rPr>
      <w:b/>
      <w:sz w:val="36"/>
      <w:szCs w:val="36"/>
    </w:rPr>
  </w:style>
  <w:style w:type="paragraph" w:styleId="Heading3">
    <w:name w:val="heading 3"/>
    <w:basedOn w:val="normal0"/>
    <w:next w:val="normal0"/>
    <w:rsid w:val="00552495"/>
    <w:pPr>
      <w:keepNext/>
      <w:keepLines/>
      <w:spacing w:before="280" w:after="80"/>
      <w:contextualSpacing/>
      <w:outlineLvl w:val="2"/>
    </w:pPr>
    <w:rPr>
      <w:b/>
      <w:sz w:val="28"/>
      <w:szCs w:val="28"/>
    </w:rPr>
  </w:style>
  <w:style w:type="paragraph" w:styleId="Heading4">
    <w:name w:val="heading 4"/>
    <w:basedOn w:val="normal0"/>
    <w:next w:val="normal0"/>
    <w:rsid w:val="00552495"/>
    <w:pPr>
      <w:keepNext/>
      <w:keepLines/>
      <w:spacing w:before="240" w:after="40"/>
      <w:contextualSpacing/>
      <w:outlineLvl w:val="3"/>
    </w:pPr>
    <w:rPr>
      <w:b/>
      <w:sz w:val="24"/>
      <w:szCs w:val="24"/>
    </w:rPr>
  </w:style>
  <w:style w:type="paragraph" w:styleId="Heading5">
    <w:name w:val="heading 5"/>
    <w:basedOn w:val="normal0"/>
    <w:next w:val="normal0"/>
    <w:rsid w:val="00552495"/>
    <w:pPr>
      <w:keepNext/>
      <w:keepLines/>
      <w:spacing w:before="220" w:after="40"/>
      <w:contextualSpacing/>
      <w:outlineLvl w:val="4"/>
    </w:pPr>
    <w:rPr>
      <w:b/>
    </w:rPr>
  </w:style>
  <w:style w:type="paragraph" w:styleId="Heading6">
    <w:name w:val="heading 6"/>
    <w:basedOn w:val="normal0"/>
    <w:next w:val="normal0"/>
    <w:rsid w:val="00552495"/>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552495"/>
  </w:style>
  <w:style w:type="paragraph" w:styleId="Title">
    <w:name w:val="Title"/>
    <w:basedOn w:val="normal0"/>
    <w:next w:val="normal0"/>
    <w:rsid w:val="00552495"/>
    <w:pPr>
      <w:keepNext/>
      <w:keepLines/>
      <w:spacing w:before="480" w:after="120"/>
      <w:contextualSpacing/>
    </w:pPr>
    <w:rPr>
      <w:b/>
      <w:sz w:val="72"/>
      <w:szCs w:val="72"/>
    </w:rPr>
  </w:style>
  <w:style w:type="paragraph" w:styleId="Subtitle">
    <w:name w:val="Subtitle"/>
    <w:basedOn w:val="normal0"/>
    <w:next w:val="normal0"/>
    <w:rsid w:val="00552495"/>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D18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18FE"/>
    <w:rPr>
      <w:rFonts w:ascii="Tahoma" w:hAnsi="Tahoma" w:cs="Tahoma"/>
      <w:sz w:val="16"/>
      <w:szCs w:val="16"/>
    </w:rPr>
  </w:style>
  <w:style w:type="paragraph" w:styleId="NoSpacing">
    <w:name w:val="No Spacing"/>
    <w:link w:val="NoSpacingChar"/>
    <w:uiPriority w:val="1"/>
    <w:qFormat/>
    <w:rsid w:val="00183C38"/>
    <w:pPr>
      <w:spacing w:after="0" w:line="240" w:lineRule="auto"/>
    </w:pPr>
    <w:rPr>
      <w:rFonts w:asciiTheme="minorHAnsi" w:eastAsiaTheme="minorHAnsi" w:hAnsiTheme="minorHAnsi" w:cstheme="minorBidi"/>
      <w:color w:val="auto"/>
    </w:rPr>
  </w:style>
  <w:style w:type="character" w:customStyle="1" w:styleId="NoSpacingChar">
    <w:name w:val="No Spacing Char"/>
    <w:basedOn w:val="DefaultParagraphFont"/>
    <w:link w:val="NoSpacing"/>
    <w:uiPriority w:val="1"/>
    <w:rsid w:val="00183C38"/>
    <w:rPr>
      <w:rFonts w:asciiTheme="minorHAnsi" w:eastAsiaTheme="minorHAnsi" w:hAnsiTheme="minorHAnsi" w:cstheme="minorBidi"/>
      <w:color w:val="auto"/>
    </w:rPr>
  </w:style>
  <w:style w:type="paragraph" w:customStyle="1" w:styleId="Default">
    <w:name w:val="Default"/>
    <w:rsid w:val="00183C38"/>
    <w:pPr>
      <w:autoSpaceDE w:val="0"/>
      <w:autoSpaceDN w:val="0"/>
      <w:adjustRightInd w:val="0"/>
      <w:spacing w:after="0" w:line="240" w:lineRule="auto"/>
    </w:pPr>
    <w:rPr>
      <w:rFonts w:ascii="Arial" w:eastAsiaTheme="minorHAnsi" w:hAnsi="Arial" w:cs="Arial"/>
      <w:sz w:val="24"/>
      <w:szCs w:val="24"/>
    </w:rPr>
  </w:style>
  <w:style w:type="table" w:styleId="TableGrid">
    <w:name w:val="Table Grid"/>
    <w:basedOn w:val="TableNormal"/>
    <w:uiPriority w:val="59"/>
    <w:rsid w:val="00813E6A"/>
    <w:pPr>
      <w:spacing w:after="0" w:line="240" w:lineRule="auto"/>
    </w:pPr>
    <w:rPr>
      <w:rFonts w:asciiTheme="minorHAnsi" w:eastAsiaTheme="minorHAnsi" w:hAnsiTheme="minorHAnsi" w:cstheme="minorBid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65452"/>
    <w:pPr>
      <w:ind w:left="720"/>
      <w:contextualSpacing/>
    </w:pPr>
    <w:rPr>
      <w:rFonts w:cs="Times New Roman"/>
      <w:color w:val="auto"/>
    </w:rPr>
  </w:style>
  <w:style w:type="character" w:customStyle="1" w:styleId="apple-converted-space">
    <w:name w:val="apple-converted-space"/>
    <w:basedOn w:val="DefaultParagraphFont"/>
    <w:rsid w:val="003307EA"/>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tiff"/><Relationship Id="rId18" Type="http://schemas.openxmlformats.org/officeDocument/2006/relationships/image" Target="media/image13.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s://www.ncbi.nlm.nih.gov/pubmed/25359993" TargetMode="External"/><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tiff"/><Relationship Id="rId17" Type="http://schemas.openxmlformats.org/officeDocument/2006/relationships/image" Target="media/image12.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tiff"/><Relationship Id="rId24" Type="http://schemas.openxmlformats.org/officeDocument/2006/relationships/hyperlink" Target="https://www.ncbi.nlm.nih.gov/pubmed/23824828" TargetMode="External"/><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www.ncbi.nlm.nih.gov/pubmed/24165990" TargetMode="External"/><Relationship Id="rId28" Type="http://schemas.openxmlformats.org/officeDocument/2006/relationships/image" Target="media/image19.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jpeg"/><Relationship Id="rId22" Type="http://schemas.openxmlformats.org/officeDocument/2006/relationships/hyperlink" Target="https://www.ncbi.nlm.nih.gov/pubmed/24918065" TargetMode="External"/><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071A74-08A3-4486-8005-944D23FAA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23</Pages>
  <Words>5903</Words>
  <Characters>33651</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LUHS</Company>
  <LinksUpToDate>false</LinksUpToDate>
  <CharactersWithSpaces>39476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LOPEZ-HISIJOS, NICOLAS</dc:creator>
  <cp:lastModifiedBy>LUHS</cp:lastModifiedBy>
  <cp:revision>10</cp:revision>
  <dcterms:created xsi:type="dcterms:W3CDTF">2016-10-23T21:56:00Z</dcterms:created>
  <dcterms:modified xsi:type="dcterms:W3CDTF">2016-10-24T14:22:00Z</dcterms:modified>
</cp:coreProperties>
</file>